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9A596" w14:textId="77777777" w:rsidR="006672DE" w:rsidRPr="006672DE" w:rsidRDefault="006672DE" w:rsidP="006672DE">
      <w:pPr>
        <w:tabs>
          <w:tab w:val="left" w:pos="1677"/>
        </w:tabs>
        <w:spacing w:after="120" w:line="276" w:lineRule="auto"/>
        <w:rPr>
          <w:rFonts w:asciiTheme="minorHAnsi" w:hAnsiTheme="minorHAnsi" w:cstheme="minorHAnsi"/>
          <w:b/>
          <w:color w:val="000000"/>
        </w:rPr>
      </w:pPr>
      <w:r w:rsidRPr="006672DE">
        <w:rPr>
          <w:rFonts w:asciiTheme="minorHAnsi" w:hAnsiTheme="minorHAnsi" w:cstheme="minorHAnsi"/>
          <w:b/>
          <w:color w:val="000000"/>
        </w:rPr>
        <w:tab/>
      </w:r>
    </w:p>
    <w:p w14:paraId="11B23227" w14:textId="77777777" w:rsidR="006672DE" w:rsidRPr="006672DE" w:rsidRDefault="006672DE" w:rsidP="006672DE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406ACBA0" w14:textId="77777777" w:rsidR="006672DE" w:rsidRPr="006672DE" w:rsidRDefault="006672DE" w:rsidP="006672DE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6672DE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74FDD999" w14:textId="77777777" w:rsidR="006672DE" w:rsidRPr="006672DE" w:rsidRDefault="006672DE" w:rsidP="006672DE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4991CA6D" w14:textId="77777777" w:rsidR="006672DE" w:rsidRPr="006672DE" w:rsidRDefault="006672DE" w:rsidP="006672DE">
      <w:pPr>
        <w:spacing w:after="120" w:line="276" w:lineRule="auto"/>
        <w:rPr>
          <w:rFonts w:asciiTheme="minorHAnsi" w:hAnsiTheme="minorHAnsi" w:cstheme="minorHAnsi"/>
          <w:b/>
          <w:color w:val="000000"/>
        </w:rPr>
      </w:pPr>
    </w:p>
    <w:p w14:paraId="790F9D92" w14:textId="77777777" w:rsidR="006672DE" w:rsidRPr="006672DE" w:rsidRDefault="006672DE" w:rsidP="006672DE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671CF268" w14:textId="77777777" w:rsidR="006672DE" w:rsidRPr="006672DE" w:rsidRDefault="006672DE" w:rsidP="006672DE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5C8C7019" w14:textId="77777777" w:rsidR="006672DE" w:rsidRPr="006672DE" w:rsidRDefault="006672DE" w:rsidP="006672DE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12B553A4" w14:textId="77777777" w:rsidR="006672DE" w:rsidRPr="006672DE" w:rsidRDefault="006672DE" w:rsidP="006672DE">
      <w:pPr>
        <w:suppressAutoHyphens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672DE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515664E9" w14:textId="77777777" w:rsidR="006672DE" w:rsidRPr="006672DE" w:rsidRDefault="006672DE" w:rsidP="006672D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A6A3088" w14:textId="77777777" w:rsidR="006672DE" w:rsidRPr="006672DE" w:rsidRDefault="006672DE" w:rsidP="006672D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6D4D534" w14:textId="77777777" w:rsidR="006672DE" w:rsidRPr="006672DE" w:rsidRDefault="006672DE" w:rsidP="006672D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E041936" w14:textId="77777777" w:rsidR="006672DE" w:rsidRPr="006672DE" w:rsidRDefault="006672DE" w:rsidP="006672DE">
      <w:pPr>
        <w:suppressAutoHyphens/>
        <w:jc w:val="center"/>
        <w:rPr>
          <w:rFonts w:asciiTheme="minorHAnsi" w:hAnsiTheme="minorHAnsi" w:cstheme="minorHAnsi"/>
          <w:b/>
        </w:rPr>
      </w:pPr>
    </w:p>
    <w:p w14:paraId="3E4806FB" w14:textId="77777777" w:rsidR="006672DE" w:rsidRPr="006672DE" w:rsidRDefault="006672DE" w:rsidP="006672DE">
      <w:pPr>
        <w:suppressAutoHyphens/>
        <w:jc w:val="center"/>
        <w:rPr>
          <w:rFonts w:asciiTheme="minorHAnsi" w:hAnsiTheme="minorHAnsi" w:cstheme="minorHAnsi"/>
          <w:b/>
        </w:rPr>
      </w:pPr>
    </w:p>
    <w:p w14:paraId="6C40A745" w14:textId="77777777" w:rsidR="006672DE" w:rsidRPr="006672DE" w:rsidRDefault="006672DE" w:rsidP="006672DE">
      <w:pPr>
        <w:suppressAutoHyphens/>
        <w:jc w:val="center"/>
        <w:rPr>
          <w:rFonts w:asciiTheme="minorHAnsi" w:hAnsiTheme="minorHAnsi" w:cstheme="minorHAnsi"/>
          <w:b/>
        </w:rPr>
      </w:pPr>
    </w:p>
    <w:p w14:paraId="075DE4FA" w14:textId="77777777" w:rsidR="006672DE" w:rsidRPr="006672DE" w:rsidRDefault="006672DE" w:rsidP="006672DE">
      <w:pPr>
        <w:suppressAutoHyphens/>
        <w:jc w:val="center"/>
        <w:rPr>
          <w:rFonts w:asciiTheme="minorHAnsi" w:hAnsiTheme="minorHAnsi" w:cstheme="minorHAnsi"/>
          <w:b/>
        </w:rPr>
      </w:pPr>
    </w:p>
    <w:p w14:paraId="3825F54E" w14:textId="77777777" w:rsidR="006672DE" w:rsidRPr="006672DE" w:rsidRDefault="006672DE" w:rsidP="006672DE">
      <w:pPr>
        <w:suppressAutoHyphens/>
        <w:jc w:val="center"/>
        <w:rPr>
          <w:rFonts w:asciiTheme="minorHAnsi" w:hAnsiTheme="minorHAnsi" w:cstheme="minorHAnsi"/>
          <w:b/>
        </w:rPr>
      </w:pPr>
    </w:p>
    <w:p w14:paraId="23408ACD" w14:textId="77777777" w:rsidR="006672DE" w:rsidRPr="006672DE" w:rsidRDefault="006672DE" w:rsidP="006672DE">
      <w:pPr>
        <w:jc w:val="center"/>
        <w:rPr>
          <w:rFonts w:asciiTheme="minorHAnsi" w:hAnsiTheme="minorHAnsi" w:cstheme="minorHAnsi"/>
          <w:b/>
          <w:szCs w:val="16"/>
        </w:rPr>
      </w:pPr>
      <w:r w:rsidRPr="006672DE">
        <w:rPr>
          <w:rFonts w:asciiTheme="minorHAnsi" w:hAnsiTheme="minorHAnsi" w:cstheme="minorHAnsi"/>
          <w:b/>
          <w:szCs w:val="16"/>
        </w:rPr>
        <w:t>D-06.01.01h</w:t>
      </w:r>
    </w:p>
    <w:p w14:paraId="7E19AFAA" w14:textId="77777777" w:rsidR="006672DE" w:rsidRPr="006672DE" w:rsidRDefault="006672DE" w:rsidP="006672DE">
      <w:pPr>
        <w:jc w:val="center"/>
        <w:rPr>
          <w:rFonts w:asciiTheme="minorHAnsi" w:hAnsiTheme="minorHAnsi" w:cstheme="minorHAnsi"/>
          <w:bCs/>
          <w:szCs w:val="16"/>
        </w:rPr>
      </w:pPr>
      <w:r w:rsidRPr="006672DE">
        <w:rPr>
          <w:rFonts w:asciiTheme="minorHAnsi" w:hAnsiTheme="minorHAnsi" w:cstheme="minorHAnsi"/>
          <w:bCs/>
          <w:szCs w:val="16"/>
        </w:rPr>
        <w:t>v.1</w:t>
      </w:r>
    </w:p>
    <w:p w14:paraId="3A74FAC1" w14:textId="77777777" w:rsidR="006672DE" w:rsidRPr="006672DE" w:rsidRDefault="006672DE" w:rsidP="006672DE">
      <w:pPr>
        <w:jc w:val="center"/>
        <w:rPr>
          <w:rFonts w:asciiTheme="minorHAnsi" w:hAnsiTheme="minorHAnsi" w:cstheme="minorHAnsi"/>
          <w:bCs/>
          <w:szCs w:val="16"/>
        </w:rPr>
      </w:pPr>
    </w:p>
    <w:p w14:paraId="34C48A77" w14:textId="77777777" w:rsidR="006672DE" w:rsidRPr="006672DE" w:rsidRDefault="006672DE" w:rsidP="006672DE">
      <w:pPr>
        <w:jc w:val="center"/>
        <w:rPr>
          <w:rFonts w:asciiTheme="minorHAnsi" w:hAnsiTheme="minorHAnsi" w:cstheme="minorHAnsi"/>
          <w:bCs/>
          <w:szCs w:val="16"/>
        </w:rPr>
      </w:pPr>
    </w:p>
    <w:p w14:paraId="7300D497" w14:textId="77777777" w:rsidR="006672DE" w:rsidRPr="006672DE" w:rsidRDefault="006672DE" w:rsidP="006672DE">
      <w:pPr>
        <w:jc w:val="center"/>
        <w:rPr>
          <w:rFonts w:asciiTheme="minorHAnsi" w:hAnsiTheme="minorHAnsi" w:cstheme="minorHAnsi"/>
          <w:szCs w:val="16"/>
        </w:rPr>
      </w:pPr>
      <w:r w:rsidRPr="006672DE">
        <w:rPr>
          <w:rFonts w:asciiTheme="minorHAnsi" w:hAnsiTheme="minorHAnsi" w:cstheme="minorHAnsi"/>
          <w:b/>
          <w:szCs w:val="16"/>
        </w:rPr>
        <w:t>WYKONANIE UMOCNIENIA PREFABRYKOWANYMI ELEMENTAMI BETONOWYMI</w:t>
      </w:r>
    </w:p>
    <w:p w14:paraId="01E88B23" w14:textId="77777777" w:rsidR="006672DE" w:rsidRPr="006672DE" w:rsidRDefault="006672DE" w:rsidP="006672D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12E6EF1" w14:textId="77777777" w:rsidR="006672DE" w:rsidRPr="006672DE" w:rsidRDefault="006672DE" w:rsidP="006672D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D62FA5A" w14:textId="77777777" w:rsidR="006672DE" w:rsidRPr="006672DE" w:rsidRDefault="006672DE" w:rsidP="006672DE">
      <w:pPr>
        <w:tabs>
          <w:tab w:val="left" w:pos="2172"/>
          <w:tab w:val="center" w:pos="481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672DE">
        <w:rPr>
          <w:rFonts w:asciiTheme="minorHAnsi" w:hAnsiTheme="minorHAnsi" w:cstheme="minorHAnsi"/>
          <w:b/>
          <w:sz w:val="22"/>
          <w:szCs w:val="22"/>
        </w:rPr>
        <w:tab/>
      </w:r>
      <w:r w:rsidRPr="006672DE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6672DE">
        <w:rPr>
          <w:rFonts w:asciiTheme="minorHAnsi" w:hAnsiTheme="minorHAnsi" w:cstheme="minorHAnsi"/>
          <w:sz w:val="22"/>
          <w:szCs w:val="22"/>
        </w:rPr>
        <w:tab/>
      </w:r>
    </w:p>
    <w:p w14:paraId="592B47A1" w14:textId="77777777" w:rsidR="006672DE" w:rsidRPr="006672DE" w:rsidRDefault="006672DE" w:rsidP="006672DE">
      <w:pPr>
        <w:rPr>
          <w:rFonts w:asciiTheme="minorHAnsi" w:hAnsiTheme="minorHAnsi" w:cstheme="minorHAnsi"/>
          <w:sz w:val="22"/>
          <w:szCs w:val="22"/>
        </w:rPr>
      </w:pPr>
    </w:p>
    <w:p w14:paraId="6C67CBEB" w14:textId="77777777" w:rsidR="006672DE" w:rsidRPr="006672DE" w:rsidRDefault="006672DE" w:rsidP="006672DE">
      <w:pPr>
        <w:rPr>
          <w:rFonts w:asciiTheme="minorHAnsi" w:hAnsiTheme="minorHAnsi" w:cstheme="minorHAnsi"/>
          <w:sz w:val="22"/>
          <w:szCs w:val="22"/>
        </w:rPr>
      </w:pPr>
    </w:p>
    <w:p w14:paraId="6506EDCE" w14:textId="77777777" w:rsidR="006672DE" w:rsidRPr="006672DE" w:rsidRDefault="006672DE" w:rsidP="006672DE">
      <w:pPr>
        <w:rPr>
          <w:rFonts w:asciiTheme="minorHAnsi" w:hAnsiTheme="minorHAnsi" w:cstheme="minorHAnsi"/>
          <w:sz w:val="22"/>
          <w:szCs w:val="22"/>
        </w:rPr>
      </w:pPr>
    </w:p>
    <w:p w14:paraId="55DDE65B" w14:textId="77777777" w:rsidR="006672DE" w:rsidRPr="006672DE" w:rsidRDefault="006672DE" w:rsidP="006672DE">
      <w:pPr>
        <w:rPr>
          <w:rFonts w:asciiTheme="minorHAnsi" w:hAnsiTheme="minorHAnsi" w:cstheme="minorHAnsi"/>
          <w:sz w:val="22"/>
          <w:szCs w:val="22"/>
        </w:rPr>
      </w:pPr>
    </w:p>
    <w:p w14:paraId="3CDB07D3" w14:textId="77777777" w:rsidR="006672DE" w:rsidRPr="006672DE" w:rsidRDefault="006672DE" w:rsidP="006672DE">
      <w:pPr>
        <w:rPr>
          <w:rFonts w:asciiTheme="minorHAnsi" w:hAnsiTheme="minorHAnsi" w:cstheme="minorHAnsi"/>
          <w:sz w:val="22"/>
          <w:szCs w:val="22"/>
        </w:rPr>
      </w:pPr>
    </w:p>
    <w:p w14:paraId="39C81088" w14:textId="77777777" w:rsidR="006672DE" w:rsidRPr="006672DE" w:rsidRDefault="006672DE" w:rsidP="006672DE">
      <w:pPr>
        <w:rPr>
          <w:rFonts w:asciiTheme="minorHAnsi" w:hAnsiTheme="minorHAnsi" w:cstheme="minorHAnsi"/>
          <w:sz w:val="22"/>
          <w:szCs w:val="22"/>
        </w:rPr>
      </w:pPr>
    </w:p>
    <w:p w14:paraId="40884058" w14:textId="77777777" w:rsidR="006672DE" w:rsidRPr="006672DE" w:rsidRDefault="006672DE" w:rsidP="006672DE">
      <w:pPr>
        <w:rPr>
          <w:rFonts w:asciiTheme="minorHAnsi" w:hAnsiTheme="minorHAnsi" w:cstheme="minorHAnsi"/>
          <w:sz w:val="22"/>
          <w:szCs w:val="22"/>
        </w:rPr>
      </w:pPr>
    </w:p>
    <w:p w14:paraId="46193CC5" w14:textId="77777777" w:rsidR="006672DE" w:rsidRPr="006672DE" w:rsidRDefault="006672DE" w:rsidP="006672DE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  <w:r w:rsidRPr="006672DE">
        <w:rPr>
          <w:rFonts w:asciiTheme="minorHAnsi" w:hAnsiTheme="minorHAnsi" w:cstheme="minorHAnsi"/>
          <w:sz w:val="22"/>
          <w:szCs w:val="22"/>
        </w:rPr>
        <w:tab/>
      </w:r>
    </w:p>
    <w:p w14:paraId="513D325F" w14:textId="77777777" w:rsidR="006672DE" w:rsidRPr="006672DE" w:rsidRDefault="006672DE" w:rsidP="006672D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3C25A6D" w14:textId="77777777" w:rsidR="006672DE" w:rsidRPr="006672DE" w:rsidRDefault="006672DE" w:rsidP="006672D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213E15D" w14:textId="77777777" w:rsidR="006672DE" w:rsidRPr="006672DE" w:rsidRDefault="006672DE" w:rsidP="006672D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FB9777E" w14:textId="77777777" w:rsidR="006672DE" w:rsidRPr="006672DE" w:rsidRDefault="006672DE" w:rsidP="006672D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929D3EB" w14:textId="77777777" w:rsidR="006672DE" w:rsidRPr="006672DE" w:rsidRDefault="006672DE" w:rsidP="006672D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4B3D296" w14:textId="77777777" w:rsidR="006672DE" w:rsidRPr="006672DE" w:rsidRDefault="006672DE" w:rsidP="006672D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1A293C3" w14:textId="77777777" w:rsidR="006672DE" w:rsidRPr="006672DE" w:rsidRDefault="006672DE" w:rsidP="006672D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50BA6CA" w14:textId="77777777" w:rsidR="006672DE" w:rsidRPr="006672DE" w:rsidRDefault="006672DE" w:rsidP="006672D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B0A4C1B" w14:textId="77777777" w:rsidR="006672DE" w:rsidRPr="006672DE" w:rsidRDefault="006672DE" w:rsidP="006672DE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5166E8A" w14:textId="77777777" w:rsidR="006672DE" w:rsidRPr="006672DE" w:rsidRDefault="006672DE" w:rsidP="006672DE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089B8FF5" w14:textId="77777777" w:rsidR="006672DE" w:rsidRPr="006672DE" w:rsidRDefault="006672DE" w:rsidP="006672DE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52EE6C17" w14:textId="77777777" w:rsidR="006672DE" w:rsidRPr="006672DE" w:rsidRDefault="006672DE" w:rsidP="006672DE">
      <w:pPr>
        <w:tabs>
          <w:tab w:val="left" w:pos="7092"/>
        </w:tabs>
        <w:rPr>
          <w:rFonts w:asciiTheme="minorHAnsi" w:hAnsiTheme="minorHAnsi" w:cstheme="minorHAnsi"/>
        </w:rPr>
      </w:pPr>
    </w:p>
    <w:p w14:paraId="2C150D68" w14:textId="77777777" w:rsidR="006672DE" w:rsidRPr="006672DE" w:rsidRDefault="006672DE" w:rsidP="006672DE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6672DE">
        <w:rPr>
          <w:rFonts w:asciiTheme="minorHAnsi" w:hAnsiTheme="minorHAnsi" w:cstheme="minorHAnsi"/>
          <w:b/>
        </w:rPr>
        <w:t>Wrocław</w:t>
      </w:r>
    </w:p>
    <w:p w14:paraId="3EB02A1F" w14:textId="77777777" w:rsidR="006672DE" w:rsidRPr="006672DE" w:rsidRDefault="006672DE" w:rsidP="006672DE">
      <w:pPr>
        <w:jc w:val="center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listopad 2025</w:t>
      </w:r>
    </w:p>
    <w:p w14:paraId="015F3E8C" w14:textId="77777777" w:rsidR="006672DE" w:rsidRDefault="006672DE" w:rsidP="006672DE">
      <w:pPr>
        <w:suppressAutoHyphens/>
        <w:jc w:val="center"/>
        <w:rPr>
          <w:rFonts w:asciiTheme="minorHAnsi" w:hAnsiTheme="minorHAnsi" w:cstheme="minorHAnsi"/>
          <w:b/>
        </w:rPr>
      </w:pPr>
    </w:p>
    <w:p w14:paraId="557F51B7" w14:textId="60099358" w:rsidR="006672DE" w:rsidRPr="006672DE" w:rsidRDefault="006672DE" w:rsidP="006672DE">
      <w:pPr>
        <w:widowControl w:val="0"/>
        <w:spacing w:before="120" w:after="120" w:line="276" w:lineRule="auto"/>
        <w:rPr>
          <w:rFonts w:asciiTheme="minorHAnsi" w:hAnsiTheme="minorHAnsi" w:cstheme="minorHAnsi"/>
          <w:b/>
        </w:rPr>
      </w:pPr>
      <w:bookmarkStart w:id="0" w:name="_Toc278438320"/>
      <w:bookmarkStart w:id="1" w:name="_Toc278461952"/>
      <w:r w:rsidRPr="006672DE">
        <w:rPr>
          <w:rFonts w:asciiTheme="minorHAnsi" w:hAnsiTheme="minorHAnsi" w:cstheme="minorHAnsi"/>
          <w:b/>
        </w:rPr>
        <w:lastRenderedPageBreak/>
        <w:t>1. WSTĘP</w:t>
      </w:r>
      <w:bookmarkEnd w:id="0"/>
    </w:p>
    <w:p w14:paraId="106EAAA2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" w:name="_Toc278438321"/>
      <w:r w:rsidRPr="006672DE">
        <w:rPr>
          <w:rFonts w:cstheme="minorHAnsi"/>
          <w:szCs w:val="20"/>
        </w:rPr>
        <w:t>1.1. Przedmiot S</w:t>
      </w:r>
      <w:bookmarkEnd w:id="2"/>
      <w:r w:rsidRPr="006672DE">
        <w:rPr>
          <w:rFonts w:cstheme="minorHAnsi"/>
          <w:szCs w:val="20"/>
        </w:rPr>
        <w:t xml:space="preserve">ST </w:t>
      </w:r>
    </w:p>
    <w:p w14:paraId="0094B178" w14:textId="77777777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Przedmiotem niniejszej szczegółowej specyfikacji technicznej (SST) są wymagania dotyczące wykonania i odbioru robót i usług związanych z wykonanie umocnienia prefabrykowanymi elementami betonowymi.</w:t>
      </w:r>
    </w:p>
    <w:p w14:paraId="6368E6F0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3" w:name="_Toc278438322"/>
      <w:r w:rsidRPr="006672DE">
        <w:rPr>
          <w:rFonts w:cstheme="minorHAnsi"/>
          <w:szCs w:val="20"/>
        </w:rPr>
        <w:t xml:space="preserve">1.2. Zakres stosowania </w:t>
      </w:r>
      <w:bookmarkEnd w:id="3"/>
      <w:r w:rsidRPr="006672DE">
        <w:rPr>
          <w:rFonts w:cstheme="minorHAnsi"/>
          <w:szCs w:val="20"/>
        </w:rPr>
        <w:t>SST</w:t>
      </w:r>
    </w:p>
    <w:p w14:paraId="302CF59A" w14:textId="77777777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</w:rPr>
      </w:pPr>
      <w:bookmarkStart w:id="4" w:name="_Hlk56241919"/>
      <w:r w:rsidRPr="006672DE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 w:rsidRPr="006672DE">
        <w:rPr>
          <w:rFonts w:asciiTheme="minorHAnsi" w:hAnsiTheme="minorHAnsi" w:cstheme="minorHAnsi"/>
          <w:kern w:val="28"/>
        </w:rPr>
        <w:br/>
        <w:t xml:space="preserve">i realizacji robót, usług i dostaw wymienionych w punkcie 1.1. w ramach bieżącego utrzymania sieci dróg wojewódzkich administrowanych przez Dolnośląską Służbę Dróg i Kolei we Wrocławiu (dalej </w:t>
      </w:r>
      <w:proofErr w:type="spellStart"/>
      <w:r w:rsidRPr="006672DE">
        <w:rPr>
          <w:rFonts w:asciiTheme="minorHAnsi" w:hAnsiTheme="minorHAnsi" w:cstheme="minorHAnsi"/>
          <w:kern w:val="28"/>
        </w:rPr>
        <w:t>DSDiK</w:t>
      </w:r>
      <w:proofErr w:type="spellEnd"/>
      <w:r w:rsidRPr="006672DE">
        <w:rPr>
          <w:rFonts w:asciiTheme="minorHAnsi" w:hAnsiTheme="minorHAnsi" w:cstheme="minorHAnsi"/>
          <w:kern w:val="28"/>
        </w:rPr>
        <w:t>).</w:t>
      </w:r>
    </w:p>
    <w:bookmarkEnd w:id="4"/>
    <w:p w14:paraId="5739274D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r w:rsidRPr="006672DE">
        <w:rPr>
          <w:rFonts w:cstheme="minorHAnsi"/>
          <w:szCs w:val="20"/>
        </w:rPr>
        <w:t xml:space="preserve">1.3. Zakres robót objętych </w:t>
      </w:r>
      <w:bookmarkEnd w:id="1"/>
      <w:r w:rsidRPr="006672DE">
        <w:rPr>
          <w:rFonts w:cstheme="minorHAnsi"/>
          <w:szCs w:val="20"/>
        </w:rPr>
        <w:t>SST</w:t>
      </w:r>
    </w:p>
    <w:p w14:paraId="46A5AAFC" w14:textId="56B623EC" w:rsidR="006672DE" w:rsidRPr="006672DE" w:rsidRDefault="006672DE" w:rsidP="006672DE">
      <w:pPr>
        <w:spacing w:line="276" w:lineRule="auto"/>
        <w:contextualSpacing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 xml:space="preserve">Ustalenia zawarte w niniejszej specyfikacji </w:t>
      </w:r>
      <w:r w:rsidRPr="00156044">
        <w:rPr>
          <w:rFonts w:asciiTheme="minorHAnsi" w:hAnsiTheme="minorHAnsi" w:cstheme="minorHAnsi"/>
        </w:rPr>
        <w:t xml:space="preserve">obejmują wymagania dotyczące prac bieżącego utrzymania dróg </w:t>
      </w:r>
      <w:r>
        <w:rPr>
          <w:rFonts w:asciiTheme="minorHAnsi" w:hAnsiTheme="minorHAnsi" w:cstheme="minorHAnsi"/>
        </w:rPr>
        <w:br/>
      </w:r>
      <w:r w:rsidRPr="00156044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156044">
        <w:rPr>
          <w:rFonts w:asciiTheme="minorHAnsi" w:hAnsiTheme="minorHAnsi" w:cstheme="minorHAnsi"/>
        </w:rPr>
        <w:t>zakresie</w:t>
      </w:r>
      <w:r w:rsidRPr="006672DE">
        <w:rPr>
          <w:rFonts w:asciiTheme="minorHAnsi" w:hAnsiTheme="minorHAnsi" w:cstheme="minorHAnsi"/>
        </w:rPr>
        <w:t>:</w:t>
      </w:r>
    </w:p>
    <w:p w14:paraId="5C9D629B" w14:textId="77777777" w:rsidR="006672DE" w:rsidRPr="006672DE" w:rsidRDefault="006672DE" w:rsidP="006672DE">
      <w:pPr>
        <w:numPr>
          <w:ilvl w:val="0"/>
          <w:numId w:val="33"/>
        </w:numPr>
        <w:overflowPunct/>
        <w:autoSpaceDE/>
        <w:autoSpaceDN/>
        <w:adjustRightInd/>
        <w:spacing w:line="276" w:lineRule="auto"/>
        <w:contextualSpacing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wykonanie, wymiana umocnienia skarp prefabrykowanymi elementami betonowymi</w:t>
      </w:r>
    </w:p>
    <w:p w14:paraId="1CDCC514" w14:textId="5CA87875" w:rsidR="006672DE" w:rsidRPr="006672DE" w:rsidRDefault="006672DE" w:rsidP="006672DE">
      <w:pPr>
        <w:numPr>
          <w:ilvl w:val="0"/>
          <w:numId w:val="33"/>
        </w:numPr>
        <w:overflowPunct/>
        <w:autoSpaceDE/>
        <w:autoSpaceDN/>
        <w:adjustRightInd/>
        <w:spacing w:line="276" w:lineRule="auto"/>
        <w:contextualSpacing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 xml:space="preserve">wykonanie, wymiana urządzeń przyporowych na skarpach z prefabrykowanych ażurowych płyt betonowych </w:t>
      </w:r>
      <w:r>
        <w:rPr>
          <w:rFonts w:asciiTheme="minorHAnsi" w:hAnsiTheme="minorHAnsi" w:cstheme="minorHAnsi"/>
        </w:rPr>
        <w:br/>
      </w:r>
      <w:r w:rsidRPr="006672DE">
        <w:rPr>
          <w:rFonts w:asciiTheme="minorHAnsi" w:hAnsiTheme="minorHAnsi" w:cstheme="minorHAnsi"/>
        </w:rPr>
        <w:t>o grubości do 10cm</w:t>
      </w:r>
    </w:p>
    <w:p w14:paraId="5C8151E7" w14:textId="46220F9F" w:rsidR="006672DE" w:rsidRPr="006672DE" w:rsidRDefault="006672DE" w:rsidP="006672DE">
      <w:pPr>
        <w:numPr>
          <w:ilvl w:val="0"/>
          <w:numId w:val="33"/>
        </w:numPr>
        <w:overflowPunct/>
        <w:autoSpaceDE/>
        <w:autoSpaceDN/>
        <w:adjustRightInd/>
        <w:spacing w:line="276" w:lineRule="auto"/>
        <w:contextualSpacing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 xml:space="preserve">wykonanie, wymiana urządzeń przyporowych na skarpach z prefabrykowanych ażurowych płyt żelbetowych </w:t>
      </w:r>
      <w:r>
        <w:rPr>
          <w:rFonts w:asciiTheme="minorHAnsi" w:hAnsiTheme="minorHAnsi" w:cstheme="minorHAnsi"/>
        </w:rPr>
        <w:br/>
      </w:r>
      <w:r w:rsidRPr="006672DE">
        <w:rPr>
          <w:rFonts w:asciiTheme="minorHAnsi" w:hAnsiTheme="minorHAnsi" w:cstheme="minorHAnsi"/>
        </w:rPr>
        <w:t>o grubości powyżej 10cm</w:t>
      </w:r>
    </w:p>
    <w:p w14:paraId="682FE940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5" w:name="_Toc278461953"/>
      <w:r w:rsidRPr="006672DE">
        <w:rPr>
          <w:rFonts w:cstheme="minorHAnsi"/>
          <w:szCs w:val="20"/>
        </w:rPr>
        <w:t>1.4. Określenia podstawowe</w:t>
      </w:r>
      <w:bookmarkEnd w:id="5"/>
      <w:r w:rsidRPr="006672DE">
        <w:rPr>
          <w:rFonts w:cstheme="minorHAnsi"/>
          <w:szCs w:val="20"/>
        </w:rPr>
        <w:t xml:space="preserve"> </w:t>
      </w:r>
    </w:p>
    <w:p w14:paraId="11143064" w14:textId="77777777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Określenia podstawowe są zgodne z odpowiednimi polskimi normami i z definicjami podanymi w ST D-M-00.00.00 Wymagania ogólne.</w:t>
      </w:r>
    </w:p>
    <w:p w14:paraId="4E9134A2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6" w:name="_Toc278461954"/>
      <w:r w:rsidRPr="006672DE">
        <w:rPr>
          <w:rFonts w:cstheme="minorHAnsi"/>
          <w:szCs w:val="20"/>
        </w:rPr>
        <w:t xml:space="preserve">1.5. Ogólne wymagania dotyczące </w:t>
      </w:r>
      <w:bookmarkEnd w:id="6"/>
      <w:r w:rsidRPr="006672DE">
        <w:rPr>
          <w:rFonts w:cstheme="minorHAnsi"/>
          <w:szCs w:val="20"/>
        </w:rPr>
        <w:t>robót</w:t>
      </w:r>
    </w:p>
    <w:p w14:paraId="339D0F8E" w14:textId="77777777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Ogólne wymagania dotyczące robót podano w SST D-M-00.00.00 Wymagania ogólne [1] pkt 1.5.</w:t>
      </w:r>
    </w:p>
    <w:p w14:paraId="2B6A9939" w14:textId="77777777" w:rsidR="006672DE" w:rsidRPr="006672DE" w:rsidRDefault="006672DE" w:rsidP="006672DE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7" w:name="_Toc278461955"/>
      <w:r w:rsidRPr="006672DE">
        <w:rPr>
          <w:rFonts w:cstheme="minorHAnsi"/>
          <w:bCs/>
        </w:rPr>
        <w:t>2. MATERIAŁY</w:t>
      </w:r>
      <w:bookmarkEnd w:id="7"/>
    </w:p>
    <w:p w14:paraId="3384E2FE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8" w:name="_Toc278461956"/>
      <w:r w:rsidRPr="006672DE">
        <w:rPr>
          <w:rFonts w:cstheme="minorHAnsi"/>
          <w:szCs w:val="20"/>
        </w:rPr>
        <w:t>2.1. Ogólne wymagania dotyczące materiałów</w:t>
      </w:r>
      <w:bookmarkEnd w:id="8"/>
    </w:p>
    <w:p w14:paraId="0C050876" w14:textId="23BE2EEA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Ogólne wymagania dotyczące materiałów, ich pozyskiwania i składowania, podano w SST D-M-00.00.00 Wymagania ogólne [1] pkt 2.</w:t>
      </w:r>
    </w:p>
    <w:p w14:paraId="382256B5" w14:textId="77777777" w:rsidR="006672DE" w:rsidRPr="006672DE" w:rsidRDefault="006672DE" w:rsidP="006672DE">
      <w:pPr>
        <w:pStyle w:val="Nagwek2"/>
        <w:spacing w:before="120" w:after="120" w:line="276" w:lineRule="auto"/>
        <w:rPr>
          <w:rFonts w:cstheme="minorHAnsi"/>
          <w:i/>
          <w:iCs/>
          <w:szCs w:val="20"/>
        </w:rPr>
      </w:pPr>
      <w:bookmarkStart w:id="9" w:name="_Toc278461957"/>
      <w:r w:rsidRPr="006672DE">
        <w:rPr>
          <w:rFonts w:cstheme="minorHAnsi"/>
          <w:szCs w:val="20"/>
        </w:rPr>
        <w:t xml:space="preserve">2.2. </w:t>
      </w:r>
      <w:bookmarkEnd w:id="9"/>
      <w:r w:rsidRPr="006672DE">
        <w:rPr>
          <w:rFonts w:cstheme="minorHAnsi"/>
          <w:szCs w:val="20"/>
        </w:rPr>
        <w:t>Materiały do wykonania robót</w:t>
      </w:r>
    </w:p>
    <w:p w14:paraId="18652E4E" w14:textId="77777777" w:rsidR="006672DE" w:rsidRPr="006672DE" w:rsidRDefault="006672DE" w:rsidP="006672DE">
      <w:pPr>
        <w:pStyle w:val="StandardowytekstZnakZnak"/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Materiałem do wykonania umocnień powierzchniowych skarp objętych niniejszą specyfikacją są prefabrykaty betonowe:</w:t>
      </w:r>
    </w:p>
    <w:p w14:paraId="7CAE23EC" w14:textId="77777777" w:rsidR="006672DE" w:rsidRPr="006672DE" w:rsidRDefault="006672DE" w:rsidP="006672DE">
      <w:pPr>
        <w:pStyle w:val="StandardowytekstZnakZnak"/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 xml:space="preserve">- płyty ażurowe betonowe o grubości do 10 cm, </w:t>
      </w:r>
    </w:p>
    <w:p w14:paraId="3FA520C7" w14:textId="77777777" w:rsidR="006672DE" w:rsidRPr="006672DE" w:rsidRDefault="006672DE" w:rsidP="006672DE">
      <w:pPr>
        <w:pStyle w:val="StandardowytekstZnakZnak"/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- płyty ażurowe betonowe o grubości większej bądź równej 10 cm,</w:t>
      </w:r>
    </w:p>
    <w:p w14:paraId="3CE73880" w14:textId="77777777" w:rsidR="006672DE" w:rsidRPr="006672DE" w:rsidRDefault="006672DE" w:rsidP="006672DE">
      <w:pPr>
        <w:pStyle w:val="StandardowytekstZnakZnak"/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- płyty chodnikowe 50 x 50 x 7 cm,</w:t>
      </w:r>
    </w:p>
    <w:p w14:paraId="0D6F67E9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</w:rPr>
      </w:pPr>
      <w:bookmarkStart w:id="10" w:name="_Toc278524881"/>
      <w:r w:rsidRPr="006672DE">
        <w:rPr>
          <w:rFonts w:cstheme="minorHAnsi"/>
        </w:rPr>
        <w:t>2.3. Wymagania dotyczące materiałów</w:t>
      </w:r>
      <w:bookmarkEnd w:id="10"/>
    </w:p>
    <w:p w14:paraId="05F20E38" w14:textId="77777777" w:rsidR="006672DE" w:rsidRPr="006672DE" w:rsidRDefault="006672DE" w:rsidP="006672DE">
      <w:pPr>
        <w:pStyle w:val="Akapitzlist"/>
        <w:numPr>
          <w:ilvl w:val="0"/>
          <w:numId w:val="38"/>
        </w:numPr>
        <w:spacing w:before="120" w:after="120" w:line="276" w:lineRule="auto"/>
        <w:ind w:left="426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klasa betonu C25/30,</w:t>
      </w:r>
    </w:p>
    <w:p w14:paraId="32183324" w14:textId="77777777" w:rsidR="006672DE" w:rsidRPr="006672DE" w:rsidRDefault="006672DE" w:rsidP="006672DE">
      <w:pPr>
        <w:pStyle w:val="Akapitzlist"/>
        <w:numPr>
          <w:ilvl w:val="0"/>
          <w:numId w:val="38"/>
        </w:numPr>
        <w:spacing w:before="120" w:after="120" w:line="276" w:lineRule="auto"/>
        <w:ind w:left="426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 xml:space="preserve">nasiąkliwość </w:t>
      </w:r>
      <w:r w:rsidRPr="006672DE">
        <w:rPr>
          <w:rFonts w:asciiTheme="minorHAnsi" w:hAnsiTheme="minorHAnsi" w:cstheme="minorHAnsi"/>
        </w:rPr>
        <w:sym w:font="Symbol" w:char="F0A3"/>
      </w:r>
      <w:r w:rsidRPr="006672DE">
        <w:rPr>
          <w:rFonts w:asciiTheme="minorHAnsi" w:hAnsiTheme="minorHAnsi" w:cstheme="minorHAnsi"/>
        </w:rPr>
        <w:t xml:space="preserve"> 5%,</w:t>
      </w:r>
    </w:p>
    <w:p w14:paraId="656EB9C7" w14:textId="77777777" w:rsidR="006672DE" w:rsidRPr="006672DE" w:rsidRDefault="006672DE" w:rsidP="006672DE">
      <w:pPr>
        <w:pStyle w:val="Akapitzlist"/>
        <w:numPr>
          <w:ilvl w:val="0"/>
          <w:numId w:val="38"/>
        </w:numPr>
        <w:spacing w:before="120" w:after="120" w:line="276" w:lineRule="auto"/>
        <w:ind w:left="426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mrozoodporność – wymagany stopień mrozoodporności F 150.</w:t>
      </w:r>
    </w:p>
    <w:p w14:paraId="63D9EEFE" w14:textId="77777777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</w:rPr>
      </w:pPr>
    </w:p>
    <w:p w14:paraId="3AB26F19" w14:textId="77777777" w:rsidR="006672DE" w:rsidRDefault="006672DE" w:rsidP="006672DE">
      <w:pPr>
        <w:spacing w:before="120" w:after="120" w:line="276" w:lineRule="auto"/>
        <w:rPr>
          <w:rFonts w:asciiTheme="minorHAnsi" w:hAnsiTheme="minorHAnsi" w:cstheme="minorHAnsi"/>
        </w:rPr>
      </w:pPr>
    </w:p>
    <w:p w14:paraId="0BC61A04" w14:textId="77777777" w:rsidR="00973014" w:rsidRPr="006672DE" w:rsidRDefault="00973014" w:rsidP="006672DE">
      <w:pPr>
        <w:spacing w:before="120" w:after="120" w:line="276" w:lineRule="auto"/>
        <w:rPr>
          <w:rFonts w:asciiTheme="minorHAnsi" w:hAnsiTheme="minorHAnsi" w:cstheme="minorHAnsi"/>
        </w:rPr>
      </w:pPr>
    </w:p>
    <w:p w14:paraId="6A5CF057" w14:textId="77777777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</w:rPr>
      </w:pPr>
    </w:p>
    <w:p w14:paraId="0A7D26C8" w14:textId="77777777" w:rsidR="006672DE" w:rsidRPr="006672DE" w:rsidRDefault="006672DE" w:rsidP="006672DE">
      <w:pPr>
        <w:spacing w:before="120" w:after="120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  <w:b/>
        </w:rPr>
        <w:lastRenderedPageBreak/>
        <w:t xml:space="preserve">Tablica 1. </w:t>
      </w:r>
      <w:r w:rsidRPr="006672DE">
        <w:rPr>
          <w:rFonts w:asciiTheme="minorHAnsi" w:hAnsiTheme="minorHAnsi" w:cstheme="minorHAnsi"/>
        </w:rPr>
        <w:t>Wymagania wobec betonowych płyt chodnikowych.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992"/>
        <w:gridCol w:w="1134"/>
        <w:gridCol w:w="743"/>
        <w:gridCol w:w="391"/>
        <w:gridCol w:w="142"/>
        <w:gridCol w:w="851"/>
        <w:gridCol w:w="1842"/>
      </w:tblGrid>
      <w:tr w:rsidR="006672DE" w:rsidRPr="006672DE" w14:paraId="6689D8AB" w14:textId="77777777" w:rsidTr="0045393B">
        <w:tc>
          <w:tcPr>
            <w:tcW w:w="534" w:type="dxa"/>
            <w:tcBorders>
              <w:top w:val="single" w:sz="4" w:space="0" w:color="auto"/>
            </w:tcBorders>
          </w:tcPr>
          <w:p w14:paraId="7E456CB7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4868B32C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73AE8136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089FF9D8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Cecha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C408571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Załącznik normy</w:t>
            </w:r>
          </w:p>
          <w:p w14:paraId="524C462C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PN-EN 1339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</w:tcBorders>
          </w:tcPr>
          <w:p w14:paraId="532CE538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7C626A02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Wymaganie</w:t>
            </w:r>
          </w:p>
        </w:tc>
      </w:tr>
      <w:tr w:rsidR="006672DE" w:rsidRPr="006672DE" w14:paraId="51B95A80" w14:textId="77777777" w:rsidTr="0045393B">
        <w:trPr>
          <w:trHeight w:val="397"/>
        </w:trPr>
        <w:tc>
          <w:tcPr>
            <w:tcW w:w="534" w:type="dxa"/>
            <w:vAlign w:val="center"/>
          </w:tcPr>
          <w:p w14:paraId="514A0165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1.</w:t>
            </w:r>
          </w:p>
        </w:tc>
        <w:tc>
          <w:tcPr>
            <w:tcW w:w="9213" w:type="dxa"/>
            <w:gridSpan w:val="8"/>
            <w:vAlign w:val="center"/>
          </w:tcPr>
          <w:p w14:paraId="1F246166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Kształt i wymiary</w:t>
            </w:r>
          </w:p>
        </w:tc>
      </w:tr>
      <w:tr w:rsidR="006672DE" w:rsidRPr="006672DE" w14:paraId="0614260D" w14:textId="77777777" w:rsidTr="0045393B">
        <w:tc>
          <w:tcPr>
            <w:tcW w:w="534" w:type="dxa"/>
          </w:tcPr>
          <w:p w14:paraId="4ED1AF2D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1.1</w:t>
            </w:r>
          </w:p>
        </w:tc>
        <w:tc>
          <w:tcPr>
            <w:tcW w:w="3118" w:type="dxa"/>
          </w:tcPr>
          <w:p w14:paraId="5D3A208C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Dopuszczalne odchyłki w mm </w:t>
            </w:r>
          </w:p>
          <w:p w14:paraId="19FF747A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8242916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C</w:t>
            </w:r>
          </w:p>
        </w:tc>
        <w:tc>
          <w:tcPr>
            <w:tcW w:w="1134" w:type="dxa"/>
          </w:tcPr>
          <w:p w14:paraId="1E4916BF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Dług</w:t>
            </w:r>
            <w:r w:rsidRPr="006672DE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o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ść</w:t>
            </w:r>
          </w:p>
          <w:p w14:paraId="74FA6AA3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45D9D378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± 2</w:t>
            </w:r>
          </w:p>
        </w:tc>
        <w:tc>
          <w:tcPr>
            <w:tcW w:w="1134" w:type="dxa"/>
            <w:gridSpan w:val="2"/>
          </w:tcPr>
          <w:p w14:paraId="50927DEE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Szerokość</w:t>
            </w:r>
          </w:p>
          <w:p w14:paraId="1EF5FD69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5E0778D7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± 2</w:t>
            </w:r>
          </w:p>
        </w:tc>
        <w:tc>
          <w:tcPr>
            <w:tcW w:w="993" w:type="dxa"/>
            <w:gridSpan w:val="2"/>
          </w:tcPr>
          <w:p w14:paraId="5FB3A5D2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Grubość</w:t>
            </w:r>
          </w:p>
          <w:p w14:paraId="09ED61B4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72C9E5E4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± 3</w:t>
            </w:r>
          </w:p>
        </w:tc>
        <w:tc>
          <w:tcPr>
            <w:tcW w:w="1842" w:type="dxa"/>
          </w:tcPr>
          <w:p w14:paraId="4685622D" w14:textId="77777777" w:rsidR="006672DE" w:rsidRPr="006672DE" w:rsidRDefault="006672DE" w:rsidP="0045393B">
            <w:pPr>
              <w:spacing w:line="120" w:lineRule="atLeast"/>
              <w:ind w:right="-240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Różnica pomiędzy dwoma pomiarami pojedynczej płyty powinna być ≤ 3,0mm</w:t>
            </w:r>
          </w:p>
        </w:tc>
      </w:tr>
      <w:tr w:rsidR="006672DE" w:rsidRPr="006672DE" w14:paraId="54911D87" w14:textId="77777777" w:rsidTr="0045393B">
        <w:tc>
          <w:tcPr>
            <w:tcW w:w="534" w:type="dxa"/>
          </w:tcPr>
          <w:p w14:paraId="4E04820F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1.2</w:t>
            </w:r>
          </w:p>
        </w:tc>
        <w:tc>
          <w:tcPr>
            <w:tcW w:w="3118" w:type="dxa"/>
          </w:tcPr>
          <w:p w14:paraId="1DFE6247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Dopuszczalne odchyłki między przekątnymi w mm, przy długości:</w:t>
            </w:r>
          </w:p>
          <w:p w14:paraId="430CF5B1" w14:textId="77777777" w:rsidR="006672DE" w:rsidRPr="006672DE" w:rsidRDefault="006672DE" w:rsidP="0045393B">
            <w:pPr>
              <w:spacing w:line="120" w:lineRule="atLeast"/>
              <w:ind w:firstLine="1496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≤ 850,0 mm</w:t>
            </w:r>
          </w:p>
          <w:p w14:paraId="633A4E1B" w14:textId="77777777" w:rsidR="006672DE" w:rsidRPr="006672DE" w:rsidRDefault="006672DE" w:rsidP="0045393B">
            <w:pPr>
              <w:spacing w:line="120" w:lineRule="atLeast"/>
              <w:ind w:firstLine="1496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&gt; 850,0 mm</w:t>
            </w:r>
          </w:p>
        </w:tc>
        <w:tc>
          <w:tcPr>
            <w:tcW w:w="992" w:type="dxa"/>
            <w:vAlign w:val="center"/>
          </w:tcPr>
          <w:p w14:paraId="4ED35499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C</w:t>
            </w:r>
          </w:p>
        </w:tc>
        <w:tc>
          <w:tcPr>
            <w:tcW w:w="5103" w:type="dxa"/>
            <w:gridSpan w:val="6"/>
          </w:tcPr>
          <w:p w14:paraId="1C6155EA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5D29ADCD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22FD695E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2</w:t>
            </w:r>
          </w:p>
          <w:p w14:paraId="6EBFF118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</w:p>
        </w:tc>
      </w:tr>
      <w:tr w:rsidR="006672DE" w:rsidRPr="006672DE" w14:paraId="15EEB2D0" w14:textId="77777777" w:rsidTr="0045393B">
        <w:trPr>
          <w:trHeight w:val="350"/>
        </w:trPr>
        <w:tc>
          <w:tcPr>
            <w:tcW w:w="534" w:type="dxa"/>
            <w:vMerge w:val="restart"/>
          </w:tcPr>
          <w:p w14:paraId="5E26AEF7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1.3</w:t>
            </w:r>
          </w:p>
        </w:tc>
        <w:tc>
          <w:tcPr>
            <w:tcW w:w="3118" w:type="dxa"/>
            <w:vMerge w:val="restart"/>
          </w:tcPr>
          <w:p w14:paraId="0D131B4A" w14:textId="77777777" w:rsidR="006672DE" w:rsidRPr="006672DE" w:rsidRDefault="006672DE" w:rsidP="0045393B">
            <w:pPr>
              <w:spacing w:line="120" w:lineRule="atLeast"/>
              <w:ind w:right="-94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Odchyłki płaskości i pofalowania w mm (jeśli max. wymiary kostki &gt;300,0mm), przy długości pomiarowej:   </w:t>
            </w:r>
          </w:p>
          <w:p w14:paraId="310AAC64" w14:textId="77777777" w:rsidR="006672DE" w:rsidRPr="006672DE" w:rsidRDefault="006672DE" w:rsidP="0045393B">
            <w:pPr>
              <w:spacing w:line="120" w:lineRule="atLeast"/>
              <w:ind w:firstLine="1496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300,0 mm</w:t>
            </w:r>
          </w:p>
          <w:p w14:paraId="01844F40" w14:textId="77777777" w:rsidR="006672DE" w:rsidRPr="006672DE" w:rsidRDefault="006672DE" w:rsidP="0045393B">
            <w:pPr>
              <w:spacing w:line="120" w:lineRule="atLeast"/>
              <w:ind w:firstLine="1496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400,0 mm</w:t>
            </w:r>
          </w:p>
          <w:p w14:paraId="4BE0F256" w14:textId="77777777" w:rsidR="006672DE" w:rsidRPr="006672DE" w:rsidRDefault="006672DE" w:rsidP="0045393B">
            <w:pPr>
              <w:spacing w:line="120" w:lineRule="atLeast"/>
              <w:ind w:firstLine="1496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500,0 mm</w:t>
            </w:r>
          </w:p>
          <w:p w14:paraId="0FBDADE7" w14:textId="77777777" w:rsidR="006672DE" w:rsidRPr="006672DE" w:rsidRDefault="006672DE" w:rsidP="0045393B">
            <w:pPr>
              <w:spacing w:line="120" w:lineRule="atLeast"/>
              <w:ind w:firstLine="1496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800,0 mm</w:t>
            </w:r>
          </w:p>
        </w:tc>
        <w:tc>
          <w:tcPr>
            <w:tcW w:w="992" w:type="dxa"/>
            <w:vMerge w:val="restart"/>
            <w:vAlign w:val="center"/>
          </w:tcPr>
          <w:p w14:paraId="7AC541FE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C</w:t>
            </w:r>
          </w:p>
        </w:tc>
        <w:tc>
          <w:tcPr>
            <w:tcW w:w="5103" w:type="dxa"/>
            <w:gridSpan w:val="6"/>
          </w:tcPr>
          <w:p w14:paraId="7C81AD9F" w14:textId="77777777" w:rsidR="006672DE" w:rsidRPr="006672DE" w:rsidRDefault="006672DE" w:rsidP="0045393B">
            <w:pPr>
              <w:spacing w:before="60"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Maksymalna</w:t>
            </w:r>
          </w:p>
        </w:tc>
      </w:tr>
      <w:tr w:rsidR="006672DE" w:rsidRPr="006672DE" w14:paraId="2CA0F932" w14:textId="77777777" w:rsidTr="0045393B">
        <w:trPr>
          <w:trHeight w:val="688"/>
        </w:trPr>
        <w:tc>
          <w:tcPr>
            <w:tcW w:w="534" w:type="dxa"/>
            <w:vMerge/>
          </w:tcPr>
          <w:p w14:paraId="014E8765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14:paraId="3CACD926" w14:textId="77777777" w:rsidR="006672DE" w:rsidRPr="006672DE" w:rsidRDefault="006672DE" w:rsidP="0045393B">
            <w:pPr>
              <w:spacing w:line="120" w:lineRule="atLeast"/>
              <w:ind w:right="-94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E136E22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1877" w:type="dxa"/>
            <w:gridSpan w:val="2"/>
          </w:tcPr>
          <w:p w14:paraId="5A74DFCC" w14:textId="77777777" w:rsidR="006672DE" w:rsidRPr="006672DE" w:rsidRDefault="006672DE" w:rsidP="0045393B">
            <w:pPr>
              <w:spacing w:before="60" w:after="60"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Wypukłość</w:t>
            </w:r>
          </w:p>
          <w:p w14:paraId="50BA7FF5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1,5</w:t>
            </w:r>
          </w:p>
          <w:p w14:paraId="1DCBB498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2,0</w:t>
            </w:r>
          </w:p>
          <w:p w14:paraId="2ADBF5D9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2,5   </w:t>
            </w:r>
          </w:p>
          <w:p w14:paraId="53735C60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4,0</w:t>
            </w:r>
          </w:p>
        </w:tc>
        <w:tc>
          <w:tcPr>
            <w:tcW w:w="3226" w:type="dxa"/>
            <w:gridSpan w:val="4"/>
          </w:tcPr>
          <w:p w14:paraId="0BABA0DA" w14:textId="77777777" w:rsidR="006672DE" w:rsidRPr="006672DE" w:rsidRDefault="006672DE" w:rsidP="0045393B">
            <w:pPr>
              <w:spacing w:before="60" w:after="60"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Wklęsłość</w:t>
            </w:r>
          </w:p>
          <w:p w14:paraId="524673BB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1,0</w:t>
            </w:r>
          </w:p>
          <w:p w14:paraId="73D2B109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1,5</w:t>
            </w:r>
          </w:p>
          <w:p w14:paraId="74DE99E2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1,5</w:t>
            </w:r>
          </w:p>
          <w:p w14:paraId="1AC2576F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2,5</w:t>
            </w:r>
          </w:p>
        </w:tc>
      </w:tr>
      <w:tr w:rsidR="006672DE" w:rsidRPr="006672DE" w14:paraId="4444B463" w14:textId="77777777" w:rsidTr="0045393B">
        <w:trPr>
          <w:trHeight w:val="544"/>
        </w:trPr>
        <w:tc>
          <w:tcPr>
            <w:tcW w:w="534" w:type="dxa"/>
          </w:tcPr>
          <w:p w14:paraId="3684ABA9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1.4</w:t>
            </w:r>
          </w:p>
        </w:tc>
        <w:tc>
          <w:tcPr>
            <w:tcW w:w="3118" w:type="dxa"/>
          </w:tcPr>
          <w:p w14:paraId="1ABA4A96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Minimalna grubość warstwy ścieralnej (dotyczy płyt dwuwarstwowych)</w:t>
            </w:r>
          </w:p>
        </w:tc>
        <w:tc>
          <w:tcPr>
            <w:tcW w:w="992" w:type="dxa"/>
            <w:vAlign w:val="center"/>
          </w:tcPr>
          <w:p w14:paraId="77CC2E50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C</w:t>
            </w:r>
          </w:p>
        </w:tc>
        <w:tc>
          <w:tcPr>
            <w:tcW w:w="5103" w:type="dxa"/>
            <w:gridSpan w:val="6"/>
            <w:vAlign w:val="center"/>
          </w:tcPr>
          <w:p w14:paraId="6F199A63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 mm"/>
              </w:smartTagPr>
              <w:r w:rsidRPr="006672DE">
                <w:rPr>
                  <w:rFonts w:asciiTheme="minorHAnsi" w:hAnsiTheme="minorHAnsi" w:cstheme="minorHAnsi"/>
                  <w:iCs/>
                  <w:sz w:val="16"/>
                  <w:szCs w:val="16"/>
                </w:rPr>
                <w:t>5 mm</w:t>
              </w:r>
            </w:smartTag>
          </w:p>
        </w:tc>
      </w:tr>
      <w:tr w:rsidR="006672DE" w:rsidRPr="006672DE" w14:paraId="6EEB70CC" w14:textId="77777777" w:rsidTr="0045393B">
        <w:trPr>
          <w:trHeight w:val="397"/>
        </w:trPr>
        <w:tc>
          <w:tcPr>
            <w:tcW w:w="534" w:type="dxa"/>
            <w:vAlign w:val="center"/>
          </w:tcPr>
          <w:p w14:paraId="1AC90D83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2.</w:t>
            </w:r>
          </w:p>
        </w:tc>
        <w:tc>
          <w:tcPr>
            <w:tcW w:w="9213" w:type="dxa"/>
            <w:gridSpan w:val="8"/>
            <w:vAlign w:val="center"/>
          </w:tcPr>
          <w:p w14:paraId="2E18225F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Właściwości fizyczne i mechaniczne</w:t>
            </w:r>
          </w:p>
        </w:tc>
      </w:tr>
      <w:tr w:rsidR="006672DE" w:rsidRPr="006672DE" w14:paraId="5D66A1C3" w14:textId="77777777" w:rsidTr="0045393B">
        <w:trPr>
          <w:trHeight w:val="400"/>
        </w:trPr>
        <w:tc>
          <w:tcPr>
            <w:tcW w:w="534" w:type="dxa"/>
            <w:vAlign w:val="center"/>
          </w:tcPr>
          <w:p w14:paraId="59533D97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2.1</w:t>
            </w:r>
          </w:p>
        </w:tc>
        <w:tc>
          <w:tcPr>
            <w:tcW w:w="3118" w:type="dxa"/>
            <w:vAlign w:val="center"/>
          </w:tcPr>
          <w:p w14:paraId="696EB0E1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Wytrzymałość na zginanie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992" w:type="dxa"/>
            <w:vAlign w:val="center"/>
          </w:tcPr>
          <w:p w14:paraId="56849E93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F</w:t>
            </w:r>
          </w:p>
        </w:tc>
        <w:tc>
          <w:tcPr>
            <w:tcW w:w="5103" w:type="dxa"/>
            <w:gridSpan w:val="6"/>
            <w:vAlign w:val="center"/>
          </w:tcPr>
          <w:p w14:paraId="38C44A64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  <w:u w:val="single"/>
              </w:rPr>
              <w:t xml:space="preserve">Każdy pojedynczy wynik 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nie mniejszy niż 4,0 </w:t>
            </w:r>
            <w:proofErr w:type="spellStart"/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MPa</w:t>
            </w:r>
            <w:proofErr w:type="spellEnd"/>
          </w:p>
        </w:tc>
      </w:tr>
      <w:tr w:rsidR="006672DE" w:rsidRPr="006672DE" w14:paraId="4D80C3A8" w14:textId="77777777" w:rsidTr="0045393B">
        <w:tc>
          <w:tcPr>
            <w:tcW w:w="534" w:type="dxa"/>
            <w:vMerge w:val="restart"/>
          </w:tcPr>
          <w:p w14:paraId="4558A1F6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2.2</w:t>
            </w:r>
          </w:p>
        </w:tc>
        <w:tc>
          <w:tcPr>
            <w:tcW w:w="3118" w:type="dxa"/>
            <w:vMerge w:val="restart"/>
          </w:tcPr>
          <w:p w14:paraId="744A3853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Odporność na ścieranie (wg klasy 4 oznaczenia I normy)</w:t>
            </w:r>
          </w:p>
        </w:tc>
        <w:tc>
          <w:tcPr>
            <w:tcW w:w="992" w:type="dxa"/>
            <w:vMerge w:val="restart"/>
            <w:vAlign w:val="center"/>
          </w:tcPr>
          <w:p w14:paraId="5E5FBFD0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G i H</w:t>
            </w:r>
          </w:p>
        </w:tc>
        <w:tc>
          <w:tcPr>
            <w:tcW w:w="5103" w:type="dxa"/>
            <w:gridSpan w:val="6"/>
          </w:tcPr>
          <w:p w14:paraId="1A4E6B8D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Pomiar wykonany na tarczy</w:t>
            </w:r>
          </w:p>
        </w:tc>
      </w:tr>
      <w:tr w:rsidR="006672DE" w:rsidRPr="006672DE" w14:paraId="2F26C2AE" w14:textId="77777777" w:rsidTr="0045393B">
        <w:tc>
          <w:tcPr>
            <w:tcW w:w="534" w:type="dxa"/>
            <w:vMerge/>
          </w:tcPr>
          <w:p w14:paraId="5FDEF027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14:paraId="06AFE622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51C514A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</w:tcPr>
          <w:p w14:paraId="4A673A6E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szerokiej ściernej,</w:t>
            </w:r>
          </w:p>
          <w:p w14:paraId="753970CA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wg zał. G normy </w:t>
            </w:r>
          </w:p>
        </w:tc>
        <w:tc>
          <w:tcPr>
            <w:tcW w:w="2693" w:type="dxa"/>
            <w:gridSpan w:val="2"/>
          </w:tcPr>
          <w:p w14:paraId="37A8E5A0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proofErr w:type="spellStart"/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Böhmego</w:t>
            </w:r>
            <w:proofErr w:type="spellEnd"/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,</w:t>
            </w:r>
          </w:p>
          <w:p w14:paraId="657E08DC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wg zał. H normy </w:t>
            </w:r>
          </w:p>
        </w:tc>
      </w:tr>
      <w:tr w:rsidR="006672DE" w:rsidRPr="006672DE" w14:paraId="5A7DEEAB" w14:textId="77777777" w:rsidTr="0045393B">
        <w:trPr>
          <w:trHeight w:val="296"/>
        </w:trPr>
        <w:tc>
          <w:tcPr>
            <w:tcW w:w="534" w:type="dxa"/>
            <w:vMerge/>
          </w:tcPr>
          <w:p w14:paraId="7D07501E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14:paraId="1C9996F8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B417C8A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</w:tcPr>
          <w:p w14:paraId="2A5388CF" w14:textId="77777777" w:rsidR="006672DE" w:rsidRPr="006672DE" w:rsidRDefault="006672DE" w:rsidP="0045393B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≤ 20,0mm</w:t>
            </w:r>
          </w:p>
        </w:tc>
        <w:tc>
          <w:tcPr>
            <w:tcW w:w="2693" w:type="dxa"/>
            <w:gridSpan w:val="2"/>
          </w:tcPr>
          <w:p w14:paraId="61B43C66" w14:textId="77777777" w:rsidR="006672DE" w:rsidRPr="006672DE" w:rsidRDefault="006672DE" w:rsidP="0045393B">
            <w:pPr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≤ 18.000 mm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  <w:t>3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/5.000 mm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  <w:t>2</w:t>
            </w:r>
          </w:p>
        </w:tc>
      </w:tr>
      <w:tr w:rsidR="006672DE" w:rsidRPr="006672DE" w14:paraId="161FDD78" w14:textId="77777777" w:rsidTr="0045393B">
        <w:trPr>
          <w:trHeight w:val="397"/>
        </w:trPr>
        <w:tc>
          <w:tcPr>
            <w:tcW w:w="534" w:type="dxa"/>
            <w:vAlign w:val="center"/>
          </w:tcPr>
          <w:p w14:paraId="2C39F941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3</w:t>
            </w:r>
          </w:p>
        </w:tc>
        <w:tc>
          <w:tcPr>
            <w:tcW w:w="9213" w:type="dxa"/>
            <w:gridSpan w:val="8"/>
            <w:vAlign w:val="center"/>
          </w:tcPr>
          <w:p w14:paraId="471BF201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Odporność na warunki atmosferyczne (kryteria stosowane łącznie)</w:t>
            </w:r>
          </w:p>
        </w:tc>
      </w:tr>
      <w:tr w:rsidR="006672DE" w:rsidRPr="006672DE" w14:paraId="18558921" w14:textId="77777777" w:rsidTr="0045393B">
        <w:trPr>
          <w:trHeight w:val="345"/>
        </w:trPr>
        <w:tc>
          <w:tcPr>
            <w:tcW w:w="534" w:type="dxa"/>
            <w:vMerge w:val="restart"/>
          </w:tcPr>
          <w:p w14:paraId="5F7FF48C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3.1</w:t>
            </w:r>
          </w:p>
        </w:tc>
        <w:tc>
          <w:tcPr>
            <w:tcW w:w="3118" w:type="dxa"/>
            <w:vMerge w:val="restart"/>
            <w:tcBorders>
              <w:bottom w:val="nil"/>
            </w:tcBorders>
          </w:tcPr>
          <w:p w14:paraId="4AD5824A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Odporność na zamrażanie/ rozmrażanie z udziałem soli odladzającej </w:t>
            </w:r>
          </w:p>
        </w:tc>
        <w:tc>
          <w:tcPr>
            <w:tcW w:w="992" w:type="dxa"/>
            <w:vMerge w:val="restart"/>
            <w:vAlign w:val="center"/>
          </w:tcPr>
          <w:p w14:paraId="7BF42C24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D</w:t>
            </w:r>
          </w:p>
        </w:tc>
        <w:tc>
          <w:tcPr>
            <w:tcW w:w="5103" w:type="dxa"/>
            <w:gridSpan w:val="6"/>
          </w:tcPr>
          <w:p w14:paraId="614E6A6C" w14:textId="77777777" w:rsidR="006672DE" w:rsidRPr="006672DE" w:rsidRDefault="006672DE" w:rsidP="0045393B">
            <w:pPr>
              <w:spacing w:before="60"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Ubytek masy po badaniu w kg/m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  <w:t>2</w:t>
            </w:r>
          </w:p>
        </w:tc>
      </w:tr>
      <w:tr w:rsidR="006672DE" w:rsidRPr="006672DE" w14:paraId="71F08915" w14:textId="77777777" w:rsidTr="0045393B">
        <w:trPr>
          <w:trHeight w:val="345"/>
        </w:trPr>
        <w:tc>
          <w:tcPr>
            <w:tcW w:w="534" w:type="dxa"/>
            <w:vMerge/>
          </w:tcPr>
          <w:p w14:paraId="247A6CF0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bottom w:val="nil"/>
            </w:tcBorders>
          </w:tcPr>
          <w:p w14:paraId="07B204A3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368A5B3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center"/>
          </w:tcPr>
          <w:p w14:paraId="70A99E9D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Średni 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14:paraId="3636DE07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Maksymalny </w:t>
            </w:r>
          </w:p>
        </w:tc>
      </w:tr>
      <w:tr w:rsidR="006672DE" w:rsidRPr="006672DE" w14:paraId="2AFB05C2" w14:textId="77777777" w:rsidTr="0045393B">
        <w:trPr>
          <w:trHeight w:val="476"/>
        </w:trPr>
        <w:tc>
          <w:tcPr>
            <w:tcW w:w="534" w:type="dxa"/>
            <w:vMerge/>
          </w:tcPr>
          <w:p w14:paraId="33C7E2F7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14:paraId="165AECC8" w14:textId="77777777" w:rsidR="006672DE" w:rsidRPr="006672DE" w:rsidRDefault="006672DE" w:rsidP="0045393B">
            <w:pPr>
              <w:spacing w:before="60" w:after="60"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- badanie warstwy ścieralnej</w:t>
            </w:r>
          </w:p>
        </w:tc>
        <w:tc>
          <w:tcPr>
            <w:tcW w:w="992" w:type="dxa"/>
            <w:vMerge/>
            <w:tcBorders>
              <w:bottom w:val="nil"/>
            </w:tcBorders>
          </w:tcPr>
          <w:p w14:paraId="393A8056" w14:textId="77777777" w:rsidR="006672DE" w:rsidRPr="006672DE" w:rsidRDefault="006672DE" w:rsidP="0045393B">
            <w:pPr>
              <w:spacing w:before="60" w:after="60"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tcBorders>
              <w:bottom w:val="nil"/>
            </w:tcBorders>
            <w:vAlign w:val="center"/>
          </w:tcPr>
          <w:p w14:paraId="145A2841" w14:textId="77777777" w:rsidR="006672DE" w:rsidRPr="006672DE" w:rsidRDefault="006672DE" w:rsidP="0045393B">
            <w:pPr>
              <w:spacing w:before="60" w:after="60"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≤ 0,5 kg/m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693" w:type="dxa"/>
            <w:gridSpan w:val="2"/>
            <w:tcBorders>
              <w:bottom w:val="nil"/>
            </w:tcBorders>
            <w:vAlign w:val="center"/>
          </w:tcPr>
          <w:p w14:paraId="61C70440" w14:textId="77777777" w:rsidR="006672DE" w:rsidRPr="006672DE" w:rsidRDefault="006672DE" w:rsidP="0045393B">
            <w:pPr>
              <w:spacing w:before="60" w:after="60"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≤ 1,0 kg/m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  <w:t>2</w:t>
            </w:r>
          </w:p>
        </w:tc>
      </w:tr>
      <w:tr w:rsidR="006672DE" w:rsidRPr="006672DE" w14:paraId="225314EE" w14:textId="77777777" w:rsidTr="0045393B">
        <w:trPr>
          <w:trHeight w:val="476"/>
        </w:trPr>
        <w:tc>
          <w:tcPr>
            <w:tcW w:w="534" w:type="dxa"/>
            <w:vMerge/>
          </w:tcPr>
          <w:p w14:paraId="7B18BCA3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14:paraId="7F09BF42" w14:textId="77777777" w:rsidR="006672DE" w:rsidRPr="006672DE" w:rsidRDefault="006672DE" w:rsidP="0045393B">
            <w:pPr>
              <w:spacing w:before="60" w:after="60"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- badanie warstwy konstrukcyjnej (dotyczy płyt dwuwarstwowych)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33FB4588" w14:textId="77777777" w:rsidR="006672DE" w:rsidRPr="006672DE" w:rsidRDefault="006672DE" w:rsidP="0045393B">
            <w:pPr>
              <w:spacing w:before="60" w:after="60"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tcBorders>
              <w:top w:val="nil"/>
            </w:tcBorders>
            <w:vAlign w:val="center"/>
          </w:tcPr>
          <w:p w14:paraId="49A7444D" w14:textId="77777777" w:rsidR="006672DE" w:rsidRPr="006672DE" w:rsidRDefault="006672DE" w:rsidP="0045393B">
            <w:pPr>
              <w:spacing w:before="60" w:after="60"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≤ 1,0 kg/m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</w:tcBorders>
            <w:vAlign w:val="center"/>
          </w:tcPr>
          <w:p w14:paraId="30F42C45" w14:textId="77777777" w:rsidR="006672DE" w:rsidRPr="006672DE" w:rsidRDefault="006672DE" w:rsidP="0045393B">
            <w:pPr>
              <w:spacing w:before="60" w:after="60"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≤ 1,5 kg/m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  <w:t>2</w:t>
            </w:r>
          </w:p>
        </w:tc>
      </w:tr>
      <w:tr w:rsidR="006672DE" w:rsidRPr="006672DE" w14:paraId="273345BA" w14:textId="77777777" w:rsidTr="0045393B">
        <w:tc>
          <w:tcPr>
            <w:tcW w:w="534" w:type="dxa"/>
            <w:tcBorders>
              <w:bottom w:val="nil"/>
            </w:tcBorders>
          </w:tcPr>
          <w:p w14:paraId="6856BB56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3.2</w:t>
            </w:r>
          </w:p>
        </w:tc>
        <w:tc>
          <w:tcPr>
            <w:tcW w:w="3118" w:type="dxa"/>
            <w:tcBorders>
              <w:bottom w:val="nil"/>
            </w:tcBorders>
          </w:tcPr>
          <w:p w14:paraId="625DBA04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Nasiąkliwość </w:t>
            </w:r>
          </w:p>
        </w:tc>
        <w:tc>
          <w:tcPr>
            <w:tcW w:w="992" w:type="dxa"/>
            <w:tcBorders>
              <w:bottom w:val="nil"/>
            </w:tcBorders>
          </w:tcPr>
          <w:p w14:paraId="40B61B3F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E</w:t>
            </w:r>
          </w:p>
        </w:tc>
        <w:tc>
          <w:tcPr>
            <w:tcW w:w="5103" w:type="dxa"/>
            <w:gridSpan w:val="6"/>
            <w:tcBorders>
              <w:bottom w:val="nil"/>
            </w:tcBorders>
          </w:tcPr>
          <w:p w14:paraId="25401A07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Wartość średnia nie większa niż 5,0%, przy czym żaden pojedynczy wynik nie przekracza 5,5%</w:t>
            </w:r>
          </w:p>
        </w:tc>
      </w:tr>
      <w:tr w:rsidR="006672DE" w:rsidRPr="006672DE" w14:paraId="72C68306" w14:textId="77777777" w:rsidTr="0045393B">
        <w:trPr>
          <w:trHeight w:val="397"/>
        </w:trPr>
        <w:tc>
          <w:tcPr>
            <w:tcW w:w="534" w:type="dxa"/>
            <w:vAlign w:val="center"/>
          </w:tcPr>
          <w:p w14:paraId="7506B979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4</w:t>
            </w:r>
          </w:p>
        </w:tc>
        <w:tc>
          <w:tcPr>
            <w:tcW w:w="9213" w:type="dxa"/>
            <w:gridSpan w:val="8"/>
            <w:vAlign w:val="center"/>
          </w:tcPr>
          <w:p w14:paraId="1E064D0C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Aspekty wizualne</w:t>
            </w:r>
          </w:p>
        </w:tc>
      </w:tr>
      <w:tr w:rsidR="006672DE" w:rsidRPr="006672DE" w14:paraId="25A28451" w14:textId="77777777" w:rsidTr="0045393B">
        <w:tc>
          <w:tcPr>
            <w:tcW w:w="534" w:type="dxa"/>
          </w:tcPr>
          <w:p w14:paraId="449D69D3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4.1</w:t>
            </w:r>
          </w:p>
        </w:tc>
        <w:tc>
          <w:tcPr>
            <w:tcW w:w="3118" w:type="dxa"/>
          </w:tcPr>
          <w:p w14:paraId="65F1AC2D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Wygląd</w:t>
            </w:r>
          </w:p>
        </w:tc>
        <w:tc>
          <w:tcPr>
            <w:tcW w:w="992" w:type="dxa"/>
            <w:vAlign w:val="center"/>
          </w:tcPr>
          <w:p w14:paraId="0367231A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J</w:t>
            </w:r>
          </w:p>
        </w:tc>
        <w:tc>
          <w:tcPr>
            <w:tcW w:w="5103" w:type="dxa"/>
            <w:gridSpan w:val="6"/>
          </w:tcPr>
          <w:p w14:paraId="26BA4D60" w14:textId="77777777" w:rsidR="006672DE" w:rsidRPr="006672DE" w:rsidRDefault="006672DE" w:rsidP="0045393B">
            <w:pPr>
              <w:spacing w:line="120" w:lineRule="atLeast"/>
              <w:ind w:left="173" w:hanging="173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a) górna powierzchnia płyt nie powinna mieć rys (poza drobnymi przytarciami transportowymi)  i odprysków,</w:t>
            </w:r>
          </w:p>
          <w:p w14:paraId="543726CD" w14:textId="77777777" w:rsidR="006672DE" w:rsidRPr="006672DE" w:rsidRDefault="006672DE" w:rsidP="0045393B">
            <w:pPr>
              <w:spacing w:line="120" w:lineRule="atLeast"/>
              <w:ind w:left="173" w:hanging="173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b) nie dopuszcza się rozwarstwień w płytach dwuwarstwowych,</w:t>
            </w:r>
          </w:p>
          <w:p w14:paraId="62D878E3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c) ewentualne wykwity nie są uważane za istotne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  <w:t>**)</w:t>
            </w:r>
          </w:p>
        </w:tc>
      </w:tr>
      <w:tr w:rsidR="006672DE" w:rsidRPr="006672DE" w14:paraId="5F7E52BF" w14:textId="77777777" w:rsidTr="0045393B">
        <w:tc>
          <w:tcPr>
            <w:tcW w:w="534" w:type="dxa"/>
          </w:tcPr>
          <w:p w14:paraId="66BAE7D2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4.2</w:t>
            </w:r>
          </w:p>
        </w:tc>
        <w:tc>
          <w:tcPr>
            <w:tcW w:w="3118" w:type="dxa"/>
          </w:tcPr>
          <w:p w14:paraId="2B5C5FAC" w14:textId="77777777" w:rsidR="006672DE" w:rsidRPr="006672DE" w:rsidRDefault="006672DE" w:rsidP="0045393B">
            <w:pPr>
              <w:spacing w:line="120" w:lineRule="atLeas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Tekstura i zabarwienie 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  <w:vertAlign w:val="superscript"/>
              </w:rPr>
              <w:t>***)</w:t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1CF110B" w14:textId="77777777" w:rsidR="006672DE" w:rsidRPr="006672DE" w:rsidRDefault="006672DE" w:rsidP="0045393B">
            <w:pPr>
              <w:spacing w:line="120" w:lineRule="atLeast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J</w:t>
            </w:r>
          </w:p>
        </w:tc>
        <w:tc>
          <w:tcPr>
            <w:tcW w:w="5103" w:type="dxa"/>
            <w:gridSpan w:val="6"/>
          </w:tcPr>
          <w:p w14:paraId="4FCD9861" w14:textId="77777777" w:rsidR="006672DE" w:rsidRPr="006672DE" w:rsidRDefault="006672DE" w:rsidP="0045393B">
            <w:pPr>
              <w:spacing w:line="120" w:lineRule="atLeast"/>
              <w:ind w:left="173" w:hanging="173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a) tekstura lub zabarwienie kostki powinny być porównane z próbką producenta, zatwierdzona przez odbiorcę,</w:t>
            </w:r>
          </w:p>
          <w:p w14:paraId="1D5BA2B9" w14:textId="521A8CEA" w:rsidR="006672DE" w:rsidRPr="006672DE" w:rsidRDefault="006672DE" w:rsidP="0045393B">
            <w:pPr>
              <w:spacing w:line="120" w:lineRule="atLeast"/>
              <w:ind w:left="173" w:hanging="173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b) ewentualne różnice w jednolitości tekstury lub zabarwienia, spowodowane nieuniknionymi zmianami we właściwościach surowców </w:t>
            </w:r>
            <w:r>
              <w:rPr>
                <w:rFonts w:asciiTheme="minorHAnsi" w:hAnsiTheme="minorHAnsi" w:cstheme="minorHAnsi"/>
                <w:iCs/>
                <w:sz w:val="16"/>
                <w:szCs w:val="16"/>
              </w:rPr>
              <w:br/>
            </w:r>
            <w:r w:rsidRPr="006672DE">
              <w:rPr>
                <w:rFonts w:asciiTheme="minorHAnsi" w:hAnsiTheme="minorHAnsi" w:cstheme="minorHAnsi"/>
                <w:iCs/>
                <w:sz w:val="16"/>
                <w:szCs w:val="16"/>
              </w:rPr>
              <w:t>i zmianach warunków twardnienia nie są uważane za istotne</w:t>
            </w:r>
          </w:p>
        </w:tc>
      </w:tr>
    </w:tbl>
    <w:p w14:paraId="0C39446E" w14:textId="77777777" w:rsidR="006672DE" w:rsidRPr="006672DE" w:rsidRDefault="006672DE" w:rsidP="006672DE">
      <w:pPr>
        <w:spacing w:line="120" w:lineRule="atLeast"/>
        <w:ind w:left="284" w:hanging="284"/>
        <w:rPr>
          <w:rFonts w:asciiTheme="minorHAnsi" w:hAnsiTheme="minorHAnsi" w:cstheme="minorHAnsi"/>
          <w:b/>
          <w:i/>
          <w:sz w:val="18"/>
        </w:rPr>
      </w:pPr>
      <w:r w:rsidRPr="006672DE">
        <w:rPr>
          <w:rFonts w:asciiTheme="minorHAnsi" w:hAnsiTheme="minorHAnsi" w:cstheme="minorHAnsi"/>
          <w:b/>
          <w:i/>
          <w:sz w:val="18"/>
        </w:rPr>
        <w:t xml:space="preserve">  </w:t>
      </w:r>
      <w:r w:rsidRPr="006672DE">
        <w:rPr>
          <w:rFonts w:asciiTheme="minorHAnsi" w:hAnsiTheme="minorHAnsi" w:cstheme="minorHAnsi"/>
          <w:b/>
          <w:i/>
          <w:sz w:val="18"/>
          <w:vertAlign w:val="superscript"/>
        </w:rPr>
        <w:t>*)</w:t>
      </w:r>
      <w:r w:rsidRPr="006672DE">
        <w:rPr>
          <w:rFonts w:asciiTheme="minorHAnsi" w:hAnsiTheme="minorHAnsi" w:cstheme="minorHAnsi"/>
          <w:b/>
          <w:i/>
          <w:sz w:val="18"/>
        </w:rPr>
        <w:t xml:space="preserve"> W przypadku kontroli zgodności przeprowadzanej przez stronę trzecią (Przypadek II) dopuszczone są wymagania jak dla kontroli produkcji.</w:t>
      </w:r>
    </w:p>
    <w:p w14:paraId="0C02D7AD" w14:textId="0FEB91E8" w:rsidR="006672DE" w:rsidRPr="006672DE" w:rsidRDefault="006672DE" w:rsidP="006672DE">
      <w:pPr>
        <w:spacing w:line="120" w:lineRule="atLeast"/>
        <w:ind w:left="284" w:hanging="284"/>
        <w:rPr>
          <w:rFonts w:asciiTheme="minorHAnsi" w:hAnsiTheme="minorHAnsi" w:cstheme="minorHAnsi"/>
          <w:b/>
          <w:i/>
          <w:sz w:val="18"/>
        </w:rPr>
      </w:pPr>
      <w:r w:rsidRPr="006672DE">
        <w:rPr>
          <w:rFonts w:asciiTheme="minorHAnsi" w:hAnsiTheme="minorHAnsi" w:cstheme="minorHAnsi"/>
          <w:b/>
          <w:i/>
          <w:sz w:val="18"/>
          <w:vertAlign w:val="superscript"/>
        </w:rPr>
        <w:t xml:space="preserve"> **)</w:t>
      </w:r>
      <w:r w:rsidRPr="006672DE">
        <w:rPr>
          <w:rFonts w:asciiTheme="minorHAnsi" w:hAnsiTheme="minorHAnsi" w:cstheme="minorHAnsi"/>
          <w:b/>
          <w:i/>
          <w:sz w:val="18"/>
        </w:rPr>
        <w:t xml:space="preserve"> Naloty wapienne (wykwity w postaci białych plam) mogą pojawiać się na powierzchni płyt w początkowym okresie eksploatacji. Powstają one w wyniku naturalnych procesów fizykochemicznych występujących w betonie i zanikają </w:t>
      </w:r>
      <w:r>
        <w:rPr>
          <w:rFonts w:asciiTheme="minorHAnsi" w:hAnsiTheme="minorHAnsi" w:cstheme="minorHAnsi"/>
          <w:b/>
          <w:i/>
          <w:sz w:val="18"/>
        </w:rPr>
        <w:br/>
      </w:r>
      <w:r w:rsidRPr="006672DE">
        <w:rPr>
          <w:rFonts w:asciiTheme="minorHAnsi" w:hAnsiTheme="minorHAnsi" w:cstheme="minorHAnsi"/>
          <w:b/>
          <w:i/>
          <w:sz w:val="18"/>
        </w:rPr>
        <w:t>w trakcie użytkowania.</w:t>
      </w:r>
    </w:p>
    <w:p w14:paraId="6418C5A9" w14:textId="77777777" w:rsidR="006672DE" w:rsidRPr="006672DE" w:rsidRDefault="006672DE" w:rsidP="006672DE">
      <w:pPr>
        <w:pStyle w:val="StandardowytekstZnakZnak"/>
        <w:rPr>
          <w:rFonts w:asciiTheme="minorHAnsi" w:hAnsiTheme="minorHAnsi" w:cstheme="minorHAnsi"/>
          <w:b/>
          <w:i/>
          <w:sz w:val="18"/>
        </w:rPr>
      </w:pPr>
      <w:r w:rsidRPr="006672DE">
        <w:rPr>
          <w:rFonts w:asciiTheme="minorHAnsi" w:hAnsiTheme="minorHAnsi" w:cstheme="minorHAnsi"/>
          <w:b/>
          <w:i/>
          <w:sz w:val="18"/>
          <w:vertAlign w:val="superscript"/>
        </w:rPr>
        <w:t>***)</w:t>
      </w:r>
      <w:r w:rsidRPr="006672DE">
        <w:rPr>
          <w:rFonts w:asciiTheme="minorHAnsi" w:hAnsiTheme="minorHAnsi" w:cstheme="minorHAnsi"/>
          <w:b/>
          <w:i/>
          <w:sz w:val="18"/>
        </w:rPr>
        <w:t xml:space="preserve"> Barwiona może być warstwa ścieralna lub cały element</w:t>
      </w:r>
    </w:p>
    <w:p w14:paraId="2563DEFB" w14:textId="77777777" w:rsidR="006672DE" w:rsidRPr="006672DE" w:rsidRDefault="006672DE" w:rsidP="006672DE">
      <w:pPr>
        <w:pStyle w:val="StandardowytekstZnakZnak"/>
        <w:rPr>
          <w:rFonts w:asciiTheme="minorHAnsi" w:hAnsiTheme="minorHAnsi" w:cstheme="minorHAnsi"/>
        </w:rPr>
      </w:pPr>
    </w:p>
    <w:p w14:paraId="036DFCF5" w14:textId="77777777" w:rsidR="006672DE" w:rsidRDefault="006672DE" w:rsidP="006672DE">
      <w:pPr>
        <w:pStyle w:val="StandardowytekstZnakZnak"/>
        <w:rPr>
          <w:rFonts w:asciiTheme="minorHAnsi" w:hAnsiTheme="minorHAnsi" w:cstheme="minorHAnsi"/>
        </w:rPr>
      </w:pPr>
    </w:p>
    <w:p w14:paraId="1F3A0557" w14:textId="77777777" w:rsidR="006672DE" w:rsidRPr="006672DE" w:rsidRDefault="006672DE" w:rsidP="006672DE">
      <w:pPr>
        <w:pStyle w:val="StandardowytekstZnakZnak"/>
        <w:rPr>
          <w:rFonts w:asciiTheme="minorHAnsi" w:hAnsiTheme="minorHAnsi" w:cstheme="minorHAnsi"/>
        </w:rPr>
      </w:pPr>
    </w:p>
    <w:p w14:paraId="2D8DF834" w14:textId="77777777" w:rsidR="006672DE" w:rsidRPr="006672DE" w:rsidRDefault="006672DE" w:rsidP="006672DE">
      <w:pPr>
        <w:pStyle w:val="StandardowytekstZnakZnak"/>
        <w:rPr>
          <w:rFonts w:asciiTheme="minorHAnsi" w:hAnsiTheme="minorHAnsi" w:cstheme="minorHAnsi"/>
        </w:rPr>
      </w:pPr>
    </w:p>
    <w:p w14:paraId="3A77BB62" w14:textId="77777777" w:rsidR="006672DE" w:rsidRPr="006672DE" w:rsidRDefault="006672DE" w:rsidP="006672DE">
      <w:pPr>
        <w:pStyle w:val="tekstost"/>
        <w:spacing w:before="120" w:after="120" w:line="276" w:lineRule="auto"/>
        <w:rPr>
          <w:rFonts w:asciiTheme="minorHAnsi" w:hAnsiTheme="minorHAnsi" w:cstheme="minorHAnsi"/>
          <w:b/>
        </w:rPr>
      </w:pPr>
      <w:bookmarkStart w:id="11" w:name="_Toc278461959"/>
      <w:r w:rsidRPr="006672DE">
        <w:rPr>
          <w:rFonts w:asciiTheme="minorHAnsi" w:hAnsiTheme="minorHAnsi" w:cstheme="minorHAnsi"/>
          <w:b/>
        </w:rPr>
        <w:lastRenderedPageBreak/>
        <w:t>3. SPRZĘT</w:t>
      </w:r>
      <w:bookmarkEnd w:id="11"/>
    </w:p>
    <w:p w14:paraId="1E5C65F0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12" w:name="_Toc278461960"/>
      <w:r w:rsidRPr="006672DE">
        <w:rPr>
          <w:rFonts w:cstheme="minorHAnsi"/>
          <w:szCs w:val="20"/>
        </w:rPr>
        <w:t>3.1. Ogólne wymagania dotyczące sprzętu</w:t>
      </w:r>
      <w:bookmarkEnd w:id="12"/>
    </w:p>
    <w:p w14:paraId="59BF58AA" w14:textId="77777777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Ogólne wymagania dotyczące sprzętu podano w SST D-M-00.00.00 Wymagania ogólne [1] pkt 3.</w:t>
      </w:r>
    </w:p>
    <w:p w14:paraId="1CB95F9B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13" w:name="_Toc278461961"/>
      <w:r w:rsidRPr="006672DE">
        <w:rPr>
          <w:rFonts w:cstheme="minorHAnsi"/>
          <w:szCs w:val="20"/>
        </w:rPr>
        <w:t>3.2. Sprzęt do</w:t>
      </w:r>
      <w:bookmarkEnd w:id="13"/>
      <w:r w:rsidRPr="006672DE">
        <w:rPr>
          <w:rFonts w:cstheme="minorHAnsi"/>
          <w:szCs w:val="20"/>
        </w:rPr>
        <w:t xml:space="preserve"> wykonywania robót </w:t>
      </w:r>
    </w:p>
    <w:p w14:paraId="0E957BBA" w14:textId="77777777" w:rsidR="006672DE" w:rsidRPr="006672DE" w:rsidRDefault="006672DE" w:rsidP="006672DE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Przy mechanicznym wykonywaniu robót zaleca się aby Wykonawca dysponował następującym sprawnym technicznie sprzętem:</w:t>
      </w:r>
    </w:p>
    <w:p w14:paraId="17B84DD0" w14:textId="77777777" w:rsidR="006672DE" w:rsidRPr="006672DE" w:rsidRDefault="006672DE" w:rsidP="006672DE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koparka, koparko-ładowarka,</w:t>
      </w:r>
    </w:p>
    <w:p w14:paraId="148DE3BB" w14:textId="77777777" w:rsidR="006672DE" w:rsidRPr="006672DE" w:rsidRDefault="006672DE" w:rsidP="006672DE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ubijaki spalinowe,</w:t>
      </w:r>
    </w:p>
    <w:p w14:paraId="22663522" w14:textId="77777777" w:rsidR="006672DE" w:rsidRPr="006672DE" w:rsidRDefault="006672DE" w:rsidP="006672DE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walce ręczne, płyty zagęszczające,</w:t>
      </w:r>
    </w:p>
    <w:p w14:paraId="461115AB" w14:textId="77777777" w:rsidR="006672DE" w:rsidRPr="006672DE" w:rsidRDefault="006672DE" w:rsidP="006672DE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sprzęt do prac ręcznych.</w:t>
      </w:r>
    </w:p>
    <w:p w14:paraId="1879236E" w14:textId="77777777" w:rsidR="006672DE" w:rsidRPr="006672DE" w:rsidRDefault="006672DE" w:rsidP="006672DE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14" w:name="_Toc278461962"/>
      <w:r w:rsidRPr="006672DE">
        <w:rPr>
          <w:rFonts w:cstheme="minorHAnsi"/>
          <w:bCs/>
        </w:rPr>
        <w:t>4. TRANSPORT</w:t>
      </w:r>
      <w:bookmarkEnd w:id="14"/>
    </w:p>
    <w:p w14:paraId="7A50F26C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15" w:name="_Toc278461963"/>
      <w:r w:rsidRPr="006672DE">
        <w:rPr>
          <w:rFonts w:cstheme="minorHAnsi"/>
          <w:szCs w:val="20"/>
        </w:rPr>
        <w:t>4.1.Ogólne wymagania dotyczące transportu</w:t>
      </w:r>
      <w:bookmarkEnd w:id="15"/>
    </w:p>
    <w:p w14:paraId="0E7113AC" w14:textId="77777777" w:rsidR="006672DE" w:rsidRPr="006672DE" w:rsidRDefault="006672DE" w:rsidP="006672D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Ogólne wymagania dotyczące transportu podano w SST D-M-00.00.00 Wymagania ogólne [1] pkt 4.</w:t>
      </w:r>
    </w:p>
    <w:p w14:paraId="230C5978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16" w:name="_Toc278461964"/>
      <w:r w:rsidRPr="006672DE">
        <w:rPr>
          <w:rFonts w:cstheme="minorHAnsi"/>
          <w:szCs w:val="20"/>
        </w:rPr>
        <w:t>4.2. Transport materiałów</w:t>
      </w:r>
      <w:bookmarkEnd w:id="16"/>
    </w:p>
    <w:p w14:paraId="2BD11BF9" w14:textId="77777777" w:rsidR="006672DE" w:rsidRPr="006672DE" w:rsidRDefault="006672DE" w:rsidP="006672DE">
      <w:pPr>
        <w:pStyle w:val="Lista-kontynuacja2"/>
        <w:spacing w:before="12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6672DE">
        <w:rPr>
          <w:rFonts w:asciiTheme="minorHAnsi" w:hAnsiTheme="minorHAnsi" w:cstheme="minorHAnsi"/>
          <w:sz w:val="20"/>
          <w:szCs w:val="20"/>
        </w:rPr>
        <w:t>Przewiduje się transport materiału następującymi środkami transportu:</w:t>
      </w:r>
    </w:p>
    <w:p w14:paraId="102AEEF6" w14:textId="77777777" w:rsidR="006672DE" w:rsidRPr="006672DE" w:rsidRDefault="006672DE" w:rsidP="006672DE">
      <w:pPr>
        <w:numPr>
          <w:ilvl w:val="0"/>
          <w:numId w:val="35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samochodami samowyładowczymi,</w:t>
      </w:r>
    </w:p>
    <w:p w14:paraId="5A1DFC20" w14:textId="77777777" w:rsidR="006672DE" w:rsidRPr="006672DE" w:rsidRDefault="006672DE" w:rsidP="006672DE">
      <w:pPr>
        <w:numPr>
          <w:ilvl w:val="0"/>
          <w:numId w:val="35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samochodami skrzyniowymi,</w:t>
      </w:r>
    </w:p>
    <w:p w14:paraId="4B5E50A2" w14:textId="77777777" w:rsidR="006672DE" w:rsidRPr="006672DE" w:rsidRDefault="006672DE" w:rsidP="006672DE">
      <w:pPr>
        <w:numPr>
          <w:ilvl w:val="0"/>
          <w:numId w:val="35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innym sprzętem.</w:t>
      </w:r>
    </w:p>
    <w:p w14:paraId="7C483E19" w14:textId="205EB4CA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Elementy prefabrykowane można przewozić dowolnymi środkami transportu w warunkach zabezpieczających je przed uszkodzeniami. Do transportu można przekazać elementy, w których beton osiągnął wytrzymałość co najmniej 0,75 RG</w:t>
      </w:r>
      <w:r>
        <w:rPr>
          <w:rFonts w:asciiTheme="minorHAnsi" w:hAnsiTheme="minorHAnsi" w:cstheme="minorHAnsi"/>
        </w:rPr>
        <w:t>.</w:t>
      </w:r>
    </w:p>
    <w:p w14:paraId="7A8350D2" w14:textId="77777777" w:rsidR="006672DE" w:rsidRPr="006672DE" w:rsidRDefault="006672DE" w:rsidP="006672DE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17" w:name="_Toc278461965"/>
      <w:r w:rsidRPr="006672DE">
        <w:rPr>
          <w:rFonts w:cstheme="minorHAnsi"/>
          <w:bCs/>
        </w:rPr>
        <w:t xml:space="preserve">5. WYKONYWANIE </w:t>
      </w:r>
      <w:bookmarkEnd w:id="17"/>
      <w:r w:rsidRPr="006672DE">
        <w:rPr>
          <w:rFonts w:cstheme="minorHAnsi"/>
          <w:bCs/>
        </w:rPr>
        <w:t>ROBÓT</w:t>
      </w:r>
    </w:p>
    <w:p w14:paraId="1AC07F5A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18" w:name="_Toc278461966"/>
      <w:r w:rsidRPr="006672DE">
        <w:rPr>
          <w:rFonts w:cstheme="minorHAnsi"/>
          <w:szCs w:val="20"/>
        </w:rPr>
        <w:t xml:space="preserve">5.1. Ogólne zasady wykonania </w:t>
      </w:r>
      <w:bookmarkEnd w:id="18"/>
      <w:r w:rsidRPr="006672DE">
        <w:rPr>
          <w:rFonts w:cstheme="minorHAnsi"/>
          <w:szCs w:val="20"/>
        </w:rPr>
        <w:t>robót</w:t>
      </w:r>
    </w:p>
    <w:p w14:paraId="65E26B4C" w14:textId="77777777" w:rsidR="006672DE" w:rsidRPr="006672DE" w:rsidRDefault="006672DE" w:rsidP="006672DE">
      <w:pPr>
        <w:pStyle w:val="Standardowytekst1"/>
        <w:tabs>
          <w:tab w:val="right" w:pos="9072"/>
        </w:tabs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Ogólne zasady wykonania robót podano w SST D-M-00.00.00 Wymagania ogólne [1] pkt 5.</w:t>
      </w:r>
    </w:p>
    <w:p w14:paraId="3A3B2704" w14:textId="77777777" w:rsidR="006672DE" w:rsidRPr="006672DE" w:rsidRDefault="006672DE" w:rsidP="006672DE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  <w:strike/>
        </w:rPr>
      </w:pPr>
      <w:r w:rsidRPr="006672DE">
        <w:rPr>
          <w:rFonts w:asciiTheme="minorHAnsi" w:hAnsiTheme="minorHAnsi" w:cstheme="minorHAnsi"/>
        </w:rPr>
        <w:t>Wykonawca przystąpi do wykonywania robót na zlecenie wystawione przez Zamawiającego. Koszt usunięcia ewentualnych uszkodzeń wynikłych z realizacji zleconych prac obciąża Wykonawcę.</w:t>
      </w:r>
    </w:p>
    <w:p w14:paraId="0A548738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</w:rPr>
      </w:pPr>
      <w:bookmarkStart w:id="19" w:name="_Toc278524890"/>
      <w:r w:rsidRPr="006672DE">
        <w:rPr>
          <w:rFonts w:cstheme="minorHAnsi"/>
        </w:rPr>
        <w:t>5.2. Umocnienie prefabrykatami betonowymi</w:t>
      </w:r>
      <w:bookmarkEnd w:id="19"/>
    </w:p>
    <w:p w14:paraId="67D41CC0" w14:textId="7CF8A8A8" w:rsidR="006672DE" w:rsidRPr="006672DE" w:rsidRDefault="006672DE" w:rsidP="006672D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 xml:space="preserve">Podłoże, na którym układane będą elementy prefabrykowane powinno być wyprofilowane i zagęszczone. Podsypka pod prefabrykaty powinna być w stanie wilgotności optymalnej o grubości 5 cm. Elementy prefabrykowane należy układać z zachowaniem spadku podłużnego i poprzecznego zgodnie z sztuka budowlaną i ustaleniami </w:t>
      </w:r>
      <w:r>
        <w:rPr>
          <w:rFonts w:asciiTheme="minorHAnsi" w:hAnsiTheme="minorHAnsi" w:cstheme="minorHAnsi"/>
        </w:rPr>
        <w:t>p</w:t>
      </w:r>
      <w:r w:rsidRPr="006672DE">
        <w:rPr>
          <w:rFonts w:asciiTheme="minorHAnsi" w:hAnsiTheme="minorHAnsi" w:cstheme="minorHAnsi"/>
        </w:rPr>
        <w:t>rzedstawiciela Zamawiającego. Spoiny pomiędzy elementami prefabrykowanymi można wypełnić gruntem, piaskiem lub zaprawą cementowo-piaskową o stosunku 1:4 i utrzymywać w stanie wilgotnym przez co najmniej 7 dni według wskazania Przedstawiciela Zamawiającego. Płyty ażurowe należy dodatkowo zakotwić kołkami drewnianymi fi 20 mm i długości 30 cm lub prętami stalowymi żebrowanymi fi 8 mm i długości 30 cm w ilości 2 szt. na 1 płytę.</w:t>
      </w:r>
    </w:p>
    <w:p w14:paraId="4F5FCE70" w14:textId="77777777" w:rsidR="006672DE" w:rsidRPr="006672DE" w:rsidRDefault="006672DE" w:rsidP="006672DE">
      <w:pPr>
        <w:pStyle w:val="Nagwek2"/>
        <w:spacing w:before="120" w:after="120" w:line="276" w:lineRule="auto"/>
        <w:rPr>
          <w:rFonts w:cstheme="minorHAnsi"/>
          <w:i/>
          <w:iCs/>
          <w:szCs w:val="20"/>
        </w:rPr>
      </w:pPr>
      <w:r w:rsidRPr="006672DE">
        <w:rPr>
          <w:rFonts w:cstheme="minorHAnsi"/>
          <w:szCs w:val="20"/>
        </w:rPr>
        <w:t xml:space="preserve">5.3. Oznakowanie danego odcinka robót </w:t>
      </w:r>
    </w:p>
    <w:p w14:paraId="297F6C9D" w14:textId="77777777" w:rsidR="006672DE" w:rsidRPr="006672DE" w:rsidRDefault="006672DE" w:rsidP="006672DE">
      <w:pPr>
        <w:pStyle w:val="Tekstpodstawowywcity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Wymagania dla oznakowania prac  podano w ST D-M-00.00.00. Wymagania ogólne [1] pkt 1.5.3.</w:t>
      </w:r>
    </w:p>
    <w:p w14:paraId="18769948" w14:textId="77777777" w:rsidR="006672DE" w:rsidRPr="006672DE" w:rsidRDefault="006672DE" w:rsidP="006672DE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20" w:name="_Toc278461970"/>
      <w:r w:rsidRPr="006672DE">
        <w:rPr>
          <w:rFonts w:cstheme="minorHAnsi"/>
          <w:bCs/>
        </w:rPr>
        <w:lastRenderedPageBreak/>
        <w:t xml:space="preserve">6. KONTROLA JAKOŚCI </w:t>
      </w:r>
      <w:bookmarkEnd w:id="20"/>
      <w:r w:rsidRPr="006672DE">
        <w:rPr>
          <w:rFonts w:cstheme="minorHAnsi"/>
          <w:bCs/>
        </w:rPr>
        <w:t>ROBÓT</w:t>
      </w:r>
    </w:p>
    <w:p w14:paraId="18E31542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1" w:name="_Toc278461971"/>
      <w:r w:rsidRPr="006672DE">
        <w:rPr>
          <w:rFonts w:cstheme="minorHAnsi"/>
          <w:szCs w:val="20"/>
        </w:rPr>
        <w:t xml:space="preserve">6.1. Ogólne zasady kontroli jakości </w:t>
      </w:r>
      <w:bookmarkEnd w:id="21"/>
      <w:r w:rsidRPr="006672DE">
        <w:rPr>
          <w:rFonts w:cstheme="minorHAnsi"/>
          <w:szCs w:val="20"/>
        </w:rPr>
        <w:t>robót</w:t>
      </w:r>
    </w:p>
    <w:p w14:paraId="5AB33DFF" w14:textId="77777777" w:rsidR="006672DE" w:rsidRPr="006672DE" w:rsidRDefault="006672DE" w:rsidP="006672D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Ogólne zasady kontroli jakości robót podano w SST D-M-00.00.00 Wymagania ogólne [1] pkt 6.</w:t>
      </w:r>
    </w:p>
    <w:p w14:paraId="295E423E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2" w:name="_Toc278461972"/>
      <w:r w:rsidRPr="006672DE">
        <w:rPr>
          <w:rFonts w:cstheme="minorHAnsi"/>
          <w:szCs w:val="20"/>
        </w:rPr>
        <w:t xml:space="preserve">6.2. Kontrola jakości wykonanych </w:t>
      </w:r>
      <w:bookmarkEnd w:id="22"/>
      <w:r w:rsidRPr="006672DE">
        <w:rPr>
          <w:rFonts w:cstheme="minorHAnsi"/>
          <w:szCs w:val="20"/>
        </w:rPr>
        <w:t>robót</w:t>
      </w:r>
    </w:p>
    <w:p w14:paraId="20201FDD" w14:textId="77777777" w:rsidR="006672DE" w:rsidRPr="006672DE" w:rsidRDefault="006672DE" w:rsidP="006672DE">
      <w:pPr>
        <w:pStyle w:val="Tekstpodstawowywcity"/>
        <w:spacing w:before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Kontroli jakości podlegają:</w:t>
      </w:r>
    </w:p>
    <w:p w14:paraId="0B7324E0" w14:textId="77777777" w:rsidR="006672DE" w:rsidRPr="006672DE" w:rsidRDefault="006672DE" w:rsidP="006672DE">
      <w:pPr>
        <w:pStyle w:val="Tekstpodstawowyzwciciem"/>
        <w:numPr>
          <w:ilvl w:val="0"/>
          <w:numId w:val="37"/>
        </w:numPr>
        <w:overflowPunct/>
        <w:autoSpaceDE/>
        <w:autoSpaceDN/>
        <w:adjustRightInd/>
        <w:spacing w:before="120" w:after="120"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równości górnej powierzchni prefabrykatów - dopuszczalny prześwit mierzony łatą 2,0 m – 1,0 cm,</w:t>
      </w:r>
    </w:p>
    <w:p w14:paraId="5B5A52B5" w14:textId="77777777" w:rsidR="006672DE" w:rsidRPr="006672DE" w:rsidRDefault="006672DE" w:rsidP="006672DE">
      <w:pPr>
        <w:pStyle w:val="Tekstpodstawowyzwciciem"/>
        <w:numPr>
          <w:ilvl w:val="0"/>
          <w:numId w:val="37"/>
        </w:numPr>
        <w:overflowPunct/>
        <w:autoSpaceDE/>
        <w:autoSpaceDN/>
        <w:adjustRightInd/>
        <w:spacing w:before="120" w:after="120"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dokładności wypełnienia szczelin między prefabrykatami - pełna głębokość.</w:t>
      </w:r>
    </w:p>
    <w:p w14:paraId="3323BF79" w14:textId="77777777" w:rsidR="006672DE" w:rsidRPr="006672DE" w:rsidRDefault="006672DE" w:rsidP="006672DE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23" w:name="_Toc278461974"/>
      <w:r w:rsidRPr="006672DE">
        <w:rPr>
          <w:rFonts w:cstheme="minorHAnsi"/>
          <w:bCs/>
        </w:rPr>
        <w:t xml:space="preserve">7. OBMIAR </w:t>
      </w:r>
      <w:bookmarkEnd w:id="23"/>
      <w:r w:rsidRPr="006672DE">
        <w:rPr>
          <w:rFonts w:cstheme="minorHAnsi"/>
          <w:bCs/>
        </w:rPr>
        <w:t>ROBÓT</w:t>
      </w:r>
    </w:p>
    <w:p w14:paraId="7D755700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4" w:name="_Toc278461975"/>
      <w:r w:rsidRPr="006672DE">
        <w:rPr>
          <w:rFonts w:cstheme="minorHAnsi"/>
          <w:szCs w:val="20"/>
        </w:rPr>
        <w:t xml:space="preserve">7.1. Ogólne zasady obmiaru </w:t>
      </w:r>
      <w:bookmarkEnd w:id="24"/>
      <w:r w:rsidRPr="006672DE">
        <w:rPr>
          <w:rFonts w:cstheme="minorHAnsi"/>
          <w:szCs w:val="20"/>
        </w:rPr>
        <w:t>robót</w:t>
      </w:r>
    </w:p>
    <w:p w14:paraId="1997973C" w14:textId="77777777" w:rsidR="006672DE" w:rsidRPr="006672DE" w:rsidRDefault="006672DE" w:rsidP="006672D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Ogólne zasady obmiaru robót podano w SST D-M-00.00.00 Wymagania ogólne [1] pkt 7.</w:t>
      </w:r>
    </w:p>
    <w:p w14:paraId="67919291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5" w:name="_Toc278461976"/>
      <w:r w:rsidRPr="006672DE">
        <w:rPr>
          <w:rFonts w:cstheme="minorHAnsi"/>
          <w:szCs w:val="20"/>
        </w:rPr>
        <w:t>7.2. Jednostka obmiarowa</w:t>
      </w:r>
      <w:bookmarkEnd w:id="25"/>
      <w:r w:rsidRPr="006672DE">
        <w:rPr>
          <w:rFonts w:cstheme="minorHAnsi"/>
          <w:szCs w:val="20"/>
        </w:rPr>
        <w:t xml:space="preserve"> </w:t>
      </w:r>
    </w:p>
    <w:p w14:paraId="56B0A03D" w14:textId="6A6B3ED2" w:rsidR="006672DE" w:rsidRPr="006672DE" w:rsidRDefault="006672DE" w:rsidP="006672DE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Jednostką obmiaru jest metr kwadratowy (</w:t>
      </w:r>
      <w:r w:rsidRPr="006672DE">
        <w:rPr>
          <w:rFonts w:asciiTheme="minorHAnsi" w:hAnsiTheme="minorHAnsi" w:cstheme="minorHAnsi"/>
          <w:b/>
        </w:rPr>
        <w:t>m</w:t>
      </w:r>
      <w:r w:rsidRPr="006672DE">
        <w:rPr>
          <w:rFonts w:asciiTheme="minorHAnsi" w:hAnsiTheme="minorHAnsi" w:cstheme="minorHAnsi"/>
          <w:b/>
          <w:vertAlign w:val="superscript"/>
        </w:rPr>
        <w:t>2</w:t>
      </w:r>
      <w:r w:rsidRPr="006672DE">
        <w:rPr>
          <w:rFonts w:asciiTheme="minorHAnsi" w:hAnsiTheme="minorHAnsi" w:cstheme="minorHAnsi"/>
        </w:rPr>
        <w:t xml:space="preserve">) wykonanych umocnień, z wszelkimi czynnościami mającymi na celu pozyskanie materiału, jego transport i składowanie, przygotowanie podłoża i wykonanie uzupełnienia zgodnie </w:t>
      </w:r>
      <w:r>
        <w:rPr>
          <w:rFonts w:asciiTheme="minorHAnsi" w:hAnsiTheme="minorHAnsi" w:cstheme="minorHAnsi"/>
        </w:rPr>
        <w:br/>
      </w:r>
      <w:r w:rsidRPr="006672DE">
        <w:rPr>
          <w:rFonts w:asciiTheme="minorHAnsi" w:hAnsiTheme="minorHAnsi" w:cstheme="minorHAnsi"/>
        </w:rPr>
        <w:t>z zasadami określonymi w niniejszej ST.</w:t>
      </w:r>
    </w:p>
    <w:p w14:paraId="51001CA6" w14:textId="77777777" w:rsidR="006672DE" w:rsidRPr="006672DE" w:rsidRDefault="006672DE" w:rsidP="006672DE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26" w:name="_Toc278461977"/>
      <w:r w:rsidRPr="006672DE">
        <w:rPr>
          <w:rFonts w:cstheme="minorHAnsi"/>
          <w:bCs/>
        </w:rPr>
        <w:t xml:space="preserve">8. ODBIÓR </w:t>
      </w:r>
      <w:bookmarkEnd w:id="26"/>
      <w:r w:rsidRPr="006672DE">
        <w:rPr>
          <w:rFonts w:cstheme="minorHAnsi"/>
          <w:bCs/>
        </w:rPr>
        <w:t>ROBÓT</w:t>
      </w:r>
    </w:p>
    <w:p w14:paraId="0C57FA01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7" w:name="_Toc278461978"/>
      <w:r w:rsidRPr="006672DE">
        <w:rPr>
          <w:rFonts w:cstheme="minorHAnsi"/>
          <w:szCs w:val="20"/>
        </w:rPr>
        <w:t xml:space="preserve">8.1. Ogólne zasady odbioru </w:t>
      </w:r>
      <w:bookmarkEnd w:id="27"/>
      <w:r w:rsidRPr="006672DE">
        <w:rPr>
          <w:rFonts w:cstheme="minorHAnsi"/>
          <w:szCs w:val="20"/>
        </w:rPr>
        <w:t>robót</w:t>
      </w:r>
    </w:p>
    <w:p w14:paraId="261EA8D8" w14:textId="77777777" w:rsidR="006672DE" w:rsidRPr="006672DE" w:rsidRDefault="006672DE" w:rsidP="006672D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Ogólne zasady odbioru robót podano w SST D-M-00.00.00 Wymagania ogólne [1] pkt 8.</w:t>
      </w:r>
    </w:p>
    <w:p w14:paraId="01402DF4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8" w:name="_Toc278461979"/>
      <w:r w:rsidRPr="006672DE">
        <w:rPr>
          <w:rFonts w:cstheme="minorHAnsi"/>
          <w:szCs w:val="20"/>
        </w:rPr>
        <w:t xml:space="preserve">8.2. Sposób odbioru </w:t>
      </w:r>
      <w:bookmarkEnd w:id="28"/>
      <w:r w:rsidRPr="006672DE">
        <w:rPr>
          <w:rFonts w:cstheme="minorHAnsi"/>
          <w:szCs w:val="20"/>
        </w:rPr>
        <w:t>robót</w:t>
      </w:r>
    </w:p>
    <w:p w14:paraId="162FA80F" w14:textId="77777777" w:rsidR="006672DE" w:rsidRPr="006672DE" w:rsidRDefault="006672DE" w:rsidP="006672DE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Roboty uznaje się za wykonane, jeżeli wszystkie wyniki badań przeprowadzonych przy odbiorach okazały się zgodne z wymogami pkt. 5 i 6.</w:t>
      </w:r>
    </w:p>
    <w:p w14:paraId="3D4F06B1" w14:textId="77777777" w:rsidR="006672DE" w:rsidRPr="006672DE" w:rsidRDefault="006672DE" w:rsidP="006672DE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29" w:name="_Toc278461980"/>
      <w:r w:rsidRPr="006672DE">
        <w:rPr>
          <w:rFonts w:cstheme="minorHAnsi"/>
          <w:bCs/>
        </w:rPr>
        <w:t>9. PODSTAWA PŁATNOŚCI</w:t>
      </w:r>
      <w:bookmarkEnd w:id="29"/>
    </w:p>
    <w:p w14:paraId="1BC07EF8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30" w:name="_Toc278461981"/>
      <w:r w:rsidRPr="006672DE">
        <w:rPr>
          <w:rFonts w:cstheme="minorHAnsi"/>
          <w:szCs w:val="20"/>
        </w:rPr>
        <w:t>9.1. Ogólne ustalenia dotyczące podstawy płatności</w:t>
      </w:r>
      <w:bookmarkEnd w:id="30"/>
    </w:p>
    <w:p w14:paraId="42D3B6FA" w14:textId="77777777" w:rsidR="006672DE" w:rsidRPr="006672DE" w:rsidRDefault="006672DE" w:rsidP="006672D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Ogólne ustalenia dotyczące podstawy płatności podano w SST D-M-00.00.00 Wymagania ogólne [1] pkt 9.</w:t>
      </w:r>
    </w:p>
    <w:p w14:paraId="4F1F6837" w14:textId="77777777" w:rsidR="006672DE" w:rsidRPr="006672DE" w:rsidRDefault="006672DE" w:rsidP="006672DE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Płaci się za jednostkę obmiarowa wg pkt. 7.2. wykonanego umocnienia prefabrykowanymi elementami betonowymi, na podstawie obmiaru i oceny jakości prac w oparciu o wyniki pomiarów i badań laboratoryjnych, o ile były wymagane.</w:t>
      </w:r>
    </w:p>
    <w:p w14:paraId="02EDE631" w14:textId="77777777" w:rsidR="006672DE" w:rsidRPr="006672DE" w:rsidRDefault="006672DE" w:rsidP="006672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31" w:name="_Toc278461982"/>
      <w:r w:rsidRPr="006672DE">
        <w:rPr>
          <w:rFonts w:cstheme="minorHAnsi"/>
          <w:szCs w:val="20"/>
        </w:rPr>
        <w:t>9.2. Cena jednostki obmiarowej</w:t>
      </w:r>
      <w:bookmarkEnd w:id="31"/>
    </w:p>
    <w:p w14:paraId="7BA4A1F7" w14:textId="77777777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Wykonawca powinien wliczyć w cenę wykonania</w:t>
      </w:r>
      <w:r w:rsidRPr="006672DE">
        <w:rPr>
          <w:rFonts w:asciiTheme="minorHAnsi" w:hAnsiTheme="minorHAnsi" w:cstheme="minorHAnsi"/>
          <w:bCs/>
        </w:rPr>
        <w:t xml:space="preserve"> </w:t>
      </w:r>
      <w:r w:rsidRPr="006672DE">
        <w:rPr>
          <w:rFonts w:asciiTheme="minorHAnsi" w:hAnsiTheme="minorHAnsi" w:cstheme="minorHAnsi"/>
          <w:b/>
          <w:bCs/>
        </w:rPr>
        <w:t>1 m</w:t>
      </w:r>
      <w:r w:rsidRPr="006672DE">
        <w:rPr>
          <w:rFonts w:asciiTheme="minorHAnsi" w:hAnsiTheme="minorHAnsi" w:cstheme="minorHAnsi"/>
          <w:b/>
          <w:bCs/>
          <w:vertAlign w:val="superscript"/>
        </w:rPr>
        <w:t>2</w:t>
      </w:r>
      <w:r w:rsidRPr="006672DE">
        <w:rPr>
          <w:rFonts w:asciiTheme="minorHAnsi" w:hAnsiTheme="minorHAnsi" w:cstheme="minorHAnsi"/>
        </w:rPr>
        <w:t xml:space="preserve"> umocnienia prefabrykowanymi elementami betonowymi wszelkie czynności związane z prawidłowym wykonaniem prac określonych niniejszą ST, co do zasady będą to:</w:t>
      </w:r>
    </w:p>
    <w:p w14:paraId="75E67B76" w14:textId="77777777" w:rsidR="006672DE" w:rsidRPr="006672DE" w:rsidRDefault="006672DE" w:rsidP="006672DE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6672DE">
        <w:rPr>
          <w:rFonts w:asciiTheme="minorHAnsi" w:hAnsiTheme="minorHAnsi" w:cstheme="minorHAnsi"/>
        </w:rPr>
        <w:t>wykonanie prac pomiarowych i prac przygotowawczych,</w:t>
      </w:r>
    </w:p>
    <w:p w14:paraId="261B6304" w14:textId="77777777" w:rsidR="006672DE" w:rsidRPr="006672DE" w:rsidRDefault="006672DE" w:rsidP="006672DE">
      <w:pPr>
        <w:numPr>
          <w:ilvl w:val="0"/>
          <w:numId w:val="30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6672DE">
        <w:rPr>
          <w:rFonts w:asciiTheme="minorHAnsi" w:hAnsiTheme="minorHAnsi" w:cstheme="minorHAnsi"/>
        </w:rPr>
        <w:t>oznakowanie prac,</w:t>
      </w:r>
    </w:p>
    <w:p w14:paraId="03B261C1" w14:textId="77777777" w:rsidR="006672DE" w:rsidRPr="006672DE" w:rsidRDefault="006672DE" w:rsidP="006672DE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6672DE">
        <w:rPr>
          <w:rFonts w:asciiTheme="minorHAnsi" w:hAnsiTheme="minorHAnsi" w:cstheme="minorHAnsi"/>
        </w:rPr>
        <w:t>koszt pracy sprzętu oraz koszty dowozu i odwozu sprzętu na/z terenu prac,</w:t>
      </w:r>
    </w:p>
    <w:p w14:paraId="6D5CDFA9" w14:textId="77777777" w:rsidR="006672DE" w:rsidRPr="006672DE" w:rsidRDefault="006672DE" w:rsidP="006672DE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6672DE">
        <w:rPr>
          <w:rFonts w:asciiTheme="minorHAnsi" w:hAnsiTheme="minorHAnsi" w:cstheme="minorHAnsi"/>
        </w:rPr>
        <w:t>koszt użytych materiałów wraz z kosztami ich zakupu, transportu i magazynowania,</w:t>
      </w:r>
    </w:p>
    <w:p w14:paraId="1EFD393A" w14:textId="77777777" w:rsidR="006672DE" w:rsidRPr="006672DE" w:rsidRDefault="006672DE" w:rsidP="006672DE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6672DE">
        <w:rPr>
          <w:rFonts w:asciiTheme="minorHAnsi" w:hAnsiTheme="minorHAnsi" w:cstheme="minorHAnsi"/>
        </w:rPr>
        <w:t>przygotowanie podłoża,</w:t>
      </w:r>
    </w:p>
    <w:p w14:paraId="73893006" w14:textId="77777777" w:rsidR="006672DE" w:rsidRPr="006672DE" w:rsidRDefault="006672DE" w:rsidP="006672DE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6672DE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 obecnie obowiązującymi przepisami,</w:t>
      </w:r>
    </w:p>
    <w:p w14:paraId="71043ABB" w14:textId="77777777" w:rsidR="006672DE" w:rsidRPr="006672DE" w:rsidRDefault="006672DE" w:rsidP="006672DE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6672DE">
        <w:rPr>
          <w:rFonts w:asciiTheme="minorHAnsi" w:hAnsiTheme="minorHAnsi" w:cstheme="minorHAnsi"/>
        </w:rPr>
        <w:lastRenderedPageBreak/>
        <w:t>wykonanie prac zgodnie z technologią prac opisaną w pkt. 5 niniejszej Specyfikacji oraz zgodnie z przepisami, normami i sztuką budowlaną,</w:t>
      </w:r>
    </w:p>
    <w:p w14:paraId="4A4E0F25" w14:textId="77777777" w:rsidR="006672DE" w:rsidRPr="006672DE" w:rsidRDefault="006672DE" w:rsidP="006672DE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6672DE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2FA7D7FB" w14:textId="77777777" w:rsidR="006672DE" w:rsidRPr="006672DE" w:rsidRDefault="006672DE" w:rsidP="006672DE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uporządkowanie terenu prac,</w:t>
      </w:r>
    </w:p>
    <w:p w14:paraId="55159458" w14:textId="77777777" w:rsidR="006672DE" w:rsidRPr="006672DE" w:rsidRDefault="006672DE" w:rsidP="006672DE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</w:p>
    <w:p w14:paraId="37E8DDD8" w14:textId="77777777" w:rsidR="006672DE" w:rsidRPr="006672DE" w:rsidRDefault="006672DE" w:rsidP="006672DE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32" w:name="_Toc278461983"/>
      <w:r w:rsidRPr="006672DE">
        <w:rPr>
          <w:rFonts w:cstheme="minorHAnsi"/>
          <w:bCs/>
        </w:rPr>
        <w:t>10. PRZEPISY ZWIĄZANE</w:t>
      </w:r>
      <w:bookmarkEnd w:id="32"/>
    </w:p>
    <w:p w14:paraId="7B937431" w14:textId="77777777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6672DE">
        <w:rPr>
          <w:rFonts w:asciiTheme="minorHAnsi" w:hAnsiTheme="minorHAnsi" w:cstheme="minorHAnsi"/>
          <w:b/>
        </w:rPr>
        <w:t>10.1. Szczegółowe specyfikacje techniczne (SST)</w:t>
      </w:r>
    </w:p>
    <w:p w14:paraId="62DD7C00" w14:textId="77777777" w:rsidR="006672DE" w:rsidRPr="006672DE" w:rsidRDefault="006672DE" w:rsidP="006672DE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SST D-M-00.00.00 Wymagania ogólne</w:t>
      </w:r>
    </w:p>
    <w:p w14:paraId="65EB041C" w14:textId="77777777" w:rsidR="006672DE" w:rsidRPr="006672DE" w:rsidRDefault="006672DE" w:rsidP="006672D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6672DE">
        <w:rPr>
          <w:rFonts w:asciiTheme="minorHAnsi" w:hAnsiTheme="minorHAnsi" w:cstheme="minorHAnsi"/>
          <w:b/>
        </w:rPr>
        <w:t>10.2. Normy</w:t>
      </w:r>
    </w:p>
    <w:p w14:paraId="04098689" w14:textId="77777777" w:rsidR="006672DE" w:rsidRPr="006672DE" w:rsidRDefault="006672DE" w:rsidP="006672DE">
      <w:pPr>
        <w:numPr>
          <w:ilvl w:val="0"/>
          <w:numId w:val="39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PN-B-11113:1996</w:t>
      </w:r>
      <w:r w:rsidRPr="006672DE">
        <w:rPr>
          <w:rFonts w:asciiTheme="minorHAnsi" w:hAnsiTheme="minorHAnsi" w:cstheme="minorHAnsi"/>
        </w:rPr>
        <w:tab/>
        <w:t>Kruszywa mineralne. Kruszywa naturalne do nawierzchni drogowych. Piasek</w:t>
      </w:r>
    </w:p>
    <w:p w14:paraId="7C7AD982" w14:textId="77777777" w:rsidR="006672DE" w:rsidRPr="006672DE" w:rsidRDefault="006672DE" w:rsidP="006672DE">
      <w:pPr>
        <w:numPr>
          <w:ilvl w:val="0"/>
          <w:numId w:val="39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>PN-B-14501:1990 Zaprawy budowlane zwykłe</w:t>
      </w:r>
    </w:p>
    <w:p w14:paraId="0FF742B8" w14:textId="77777777" w:rsidR="006672DE" w:rsidRPr="006672DE" w:rsidRDefault="006672DE" w:rsidP="006672DE">
      <w:pPr>
        <w:numPr>
          <w:ilvl w:val="0"/>
          <w:numId w:val="39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 xml:space="preserve">PN-S-02205:1998 </w:t>
      </w:r>
      <w:r w:rsidRPr="006672DE">
        <w:rPr>
          <w:rFonts w:asciiTheme="minorHAnsi" w:hAnsiTheme="minorHAnsi" w:cstheme="minorHAnsi"/>
        </w:rPr>
        <w:tab/>
        <w:t>Drogi samochodowe. Roboty ziemne. Wymagania i badania</w:t>
      </w:r>
    </w:p>
    <w:p w14:paraId="1BC7554D" w14:textId="77777777" w:rsidR="006672DE" w:rsidRPr="006672DE" w:rsidRDefault="006672DE" w:rsidP="006672DE">
      <w:pPr>
        <w:pStyle w:val="Standardowytekst1"/>
        <w:numPr>
          <w:ilvl w:val="0"/>
          <w:numId w:val="39"/>
        </w:numPr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</w:rPr>
        <w:t xml:space="preserve">PN-EN 1339:2005 </w:t>
      </w:r>
      <w:r w:rsidRPr="006672DE">
        <w:rPr>
          <w:rFonts w:asciiTheme="minorHAnsi" w:hAnsiTheme="minorHAnsi" w:cstheme="minorHAnsi"/>
        </w:rPr>
        <w:tab/>
        <w:t>Betonowe płyty brukowe Wymagania i metody badań</w:t>
      </w:r>
    </w:p>
    <w:p w14:paraId="49203740" w14:textId="77777777" w:rsidR="006672DE" w:rsidRPr="006672DE" w:rsidRDefault="006672DE" w:rsidP="006672DE">
      <w:pPr>
        <w:pStyle w:val="NormalnyZlewej0cmWysunicie375cm"/>
        <w:numPr>
          <w:ilvl w:val="0"/>
          <w:numId w:val="39"/>
        </w:numPr>
        <w:spacing w:before="120" w:after="120" w:line="276" w:lineRule="auto"/>
        <w:rPr>
          <w:rFonts w:asciiTheme="minorHAnsi" w:hAnsiTheme="minorHAnsi" w:cstheme="minorHAnsi"/>
        </w:rPr>
      </w:pPr>
      <w:r w:rsidRPr="006672DE">
        <w:rPr>
          <w:rFonts w:asciiTheme="minorHAnsi" w:hAnsiTheme="minorHAnsi" w:cstheme="minorHAnsi"/>
          <w:lang w:val="de-DE"/>
        </w:rPr>
        <w:t>PN-EN-197-1:2002</w:t>
      </w:r>
      <w:r w:rsidRPr="006672DE">
        <w:rPr>
          <w:rFonts w:asciiTheme="minorHAnsi" w:hAnsiTheme="minorHAnsi" w:cstheme="minorHAnsi"/>
          <w:lang w:val="de-DE"/>
        </w:rPr>
        <w:tab/>
      </w:r>
      <w:proofErr w:type="spellStart"/>
      <w:r w:rsidRPr="006672DE">
        <w:rPr>
          <w:rFonts w:asciiTheme="minorHAnsi" w:hAnsiTheme="minorHAnsi" w:cstheme="minorHAnsi"/>
          <w:lang w:val="de-DE"/>
        </w:rPr>
        <w:t>Cement</w:t>
      </w:r>
      <w:proofErr w:type="spellEnd"/>
      <w:r w:rsidRPr="006672DE">
        <w:rPr>
          <w:rFonts w:asciiTheme="minorHAnsi" w:hAnsiTheme="minorHAnsi" w:cstheme="minorHAnsi"/>
          <w:lang w:val="de-DE"/>
        </w:rPr>
        <w:t xml:space="preserve">. </w:t>
      </w:r>
      <w:r w:rsidRPr="006672DE">
        <w:rPr>
          <w:rFonts w:asciiTheme="minorHAnsi" w:hAnsiTheme="minorHAnsi" w:cstheme="minorHAnsi"/>
        </w:rPr>
        <w:t>Część 1: Skład, wymagania i kryteria zgodności dotyczące cementów powszechnego użytku.</w:t>
      </w:r>
    </w:p>
    <w:p w14:paraId="140AB1C9" w14:textId="77777777" w:rsidR="00763B8C" w:rsidRPr="006672DE" w:rsidRDefault="00763B8C" w:rsidP="006672DE">
      <w:pPr>
        <w:rPr>
          <w:rFonts w:asciiTheme="minorHAnsi" w:hAnsiTheme="minorHAnsi" w:cstheme="minorHAnsi"/>
        </w:rPr>
      </w:pPr>
    </w:p>
    <w:sectPr w:rsidR="00763B8C" w:rsidRPr="006672DE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189C40F2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982880" w:rsidRPr="00CD7CED">
      <w:rPr>
        <w:rFonts w:asciiTheme="minorHAnsi" w:hAnsiTheme="minorHAnsi" w:cstheme="minorHAnsi"/>
        <w:sz w:val="20"/>
      </w:rPr>
      <w:t>06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="006672DE">
      <w:rPr>
        <w:rFonts w:asciiTheme="minorHAnsi" w:hAnsiTheme="minorHAnsi" w:cstheme="minorHAnsi"/>
        <w:sz w:val="20"/>
      </w:rPr>
      <w:t>h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03DA6A2C"/>
    <w:multiLevelType w:val="hybridMultilevel"/>
    <w:tmpl w:val="BB66F1B2"/>
    <w:lvl w:ilvl="0" w:tplc="ED382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8B1048"/>
    <w:multiLevelType w:val="hybridMultilevel"/>
    <w:tmpl w:val="BF968B06"/>
    <w:lvl w:ilvl="0" w:tplc="87E4B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3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7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8" w15:restartNumberingAfterBreak="0">
    <w:nsid w:val="319F658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D5B35"/>
    <w:multiLevelType w:val="hybridMultilevel"/>
    <w:tmpl w:val="804EB6A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2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8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32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8"/>
  </w:num>
  <w:num w:numId="2" w16cid:durableId="1167163177">
    <w:abstractNumId w:val="28"/>
  </w:num>
  <w:num w:numId="3" w16cid:durableId="1348361478">
    <w:abstractNumId w:val="32"/>
  </w:num>
  <w:num w:numId="4" w16cid:durableId="24795102">
    <w:abstractNumId w:val="22"/>
  </w:num>
  <w:num w:numId="5" w16cid:durableId="669723670">
    <w:abstractNumId w:val="14"/>
  </w:num>
  <w:num w:numId="6" w16cid:durableId="2022924780">
    <w:abstractNumId w:val="3"/>
  </w:num>
  <w:num w:numId="7" w16cid:durableId="247348047">
    <w:abstractNumId w:val="2"/>
  </w:num>
  <w:num w:numId="8" w16cid:durableId="4524503">
    <w:abstractNumId w:val="19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13"/>
  </w:num>
  <w:num w:numId="11" w16cid:durableId="1623345309">
    <w:abstractNumId w:val="23"/>
  </w:num>
  <w:num w:numId="12" w16cid:durableId="463937359">
    <w:abstractNumId w:val="36"/>
  </w:num>
  <w:num w:numId="13" w16cid:durableId="2025934367">
    <w:abstractNumId w:val="7"/>
  </w:num>
  <w:num w:numId="14" w16cid:durableId="1199077794">
    <w:abstractNumId w:val="6"/>
  </w:num>
  <w:num w:numId="15" w16cid:durableId="737019076">
    <w:abstractNumId w:val="35"/>
  </w:num>
  <w:num w:numId="16" w16cid:durableId="652490865">
    <w:abstractNumId w:val="30"/>
  </w:num>
  <w:num w:numId="17" w16cid:durableId="1126192646">
    <w:abstractNumId w:val="16"/>
  </w:num>
  <w:num w:numId="18" w16cid:durableId="1797866961">
    <w:abstractNumId w:val="31"/>
  </w:num>
  <w:num w:numId="19" w16cid:durableId="2045910087">
    <w:abstractNumId w:val="26"/>
  </w:num>
  <w:num w:numId="20" w16cid:durableId="218639202">
    <w:abstractNumId w:val="5"/>
  </w:num>
  <w:num w:numId="21" w16cid:durableId="2120443649">
    <w:abstractNumId w:val="34"/>
  </w:num>
  <w:num w:numId="22" w16cid:durableId="195436014">
    <w:abstractNumId w:val="37"/>
  </w:num>
  <w:num w:numId="23" w16cid:durableId="1648777031">
    <w:abstractNumId w:val="33"/>
  </w:num>
  <w:num w:numId="24" w16cid:durableId="97989332">
    <w:abstractNumId w:val="15"/>
  </w:num>
  <w:num w:numId="25" w16cid:durableId="694963102">
    <w:abstractNumId w:val="10"/>
  </w:num>
  <w:num w:numId="26" w16cid:durableId="221721396">
    <w:abstractNumId w:val="25"/>
  </w:num>
  <w:num w:numId="27" w16cid:durableId="1556235800">
    <w:abstractNumId w:val="5"/>
  </w:num>
  <w:num w:numId="28" w16cid:durableId="800533188">
    <w:abstractNumId w:val="21"/>
    <w:lvlOverride w:ilvl="0">
      <w:startOverride w:val="1"/>
    </w:lvlOverride>
  </w:num>
  <w:num w:numId="29" w16cid:durableId="1935891942">
    <w:abstractNumId w:val="1"/>
  </w:num>
  <w:num w:numId="30" w16cid:durableId="859709033">
    <w:abstractNumId w:val="27"/>
    <w:lvlOverride w:ilvl="0">
      <w:startOverride w:val="1"/>
    </w:lvlOverride>
  </w:num>
  <w:num w:numId="31" w16cid:durableId="992873069">
    <w:abstractNumId w:val="17"/>
    <w:lvlOverride w:ilvl="0">
      <w:startOverride w:val="1"/>
    </w:lvlOverride>
  </w:num>
  <w:num w:numId="32" w16cid:durableId="617953923">
    <w:abstractNumId w:val="12"/>
    <w:lvlOverride w:ilvl="0">
      <w:startOverride w:val="1"/>
    </w:lvlOverride>
  </w:num>
  <w:num w:numId="33" w16cid:durableId="724255212">
    <w:abstractNumId w:val="9"/>
  </w:num>
  <w:num w:numId="34" w16cid:durableId="902640174">
    <w:abstractNumId w:val="29"/>
  </w:num>
  <w:num w:numId="35" w16cid:durableId="752892859">
    <w:abstractNumId w:val="24"/>
  </w:num>
  <w:num w:numId="36" w16cid:durableId="1420908709">
    <w:abstractNumId w:val="20"/>
  </w:num>
  <w:num w:numId="37" w16cid:durableId="1246720284">
    <w:abstractNumId w:val="11"/>
  </w:num>
  <w:num w:numId="38" w16cid:durableId="635524230">
    <w:abstractNumId w:val="4"/>
  </w:num>
  <w:num w:numId="39" w16cid:durableId="55728495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A1EB4"/>
    <w:rsid w:val="00215182"/>
    <w:rsid w:val="0029008C"/>
    <w:rsid w:val="003322BF"/>
    <w:rsid w:val="00436AF6"/>
    <w:rsid w:val="00511AA4"/>
    <w:rsid w:val="00520564"/>
    <w:rsid w:val="00544EE1"/>
    <w:rsid w:val="005A7244"/>
    <w:rsid w:val="00605D58"/>
    <w:rsid w:val="00616952"/>
    <w:rsid w:val="006373C8"/>
    <w:rsid w:val="0064072A"/>
    <w:rsid w:val="006672DE"/>
    <w:rsid w:val="006746EC"/>
    <w:rsid w:val="00685493"/>
    <w:rsid w:val="006E3D9A"/>
    <w:rsid w:val="0071524B"/>
    <w:rsid w:val="00751095"/>
    <w:rsid w:val="00763B8C"/>
    <w:rsid w:val="007B494A"/>
    <w:rsid w:val="007B6625"/>
    <w:rsid w:val="007E7220"/>
    <w:rsid w:val="0082738F"/>
    <w:rsid w:val="00835A86"/>
    <w:rsid w:val="0091665A"/>
    <w:rsid w:val="00973014"/>
    <w:rsid w:val="00982880"/>
    <w:rsid w:val="00993AC6"/>
    <w:rsid w:val="009B2C34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C11DDE"/>
    <w:rsid w:val="00C620B6"/>
    <w:rsid w:val="00CD5BB0"/>
    <w:rsid w:val="00CD7CED"/>
    <w:rsid w:val="00D119AE"/>
    <w:rsid w:val="00D17056"/>
    <w:rsid w:val="00D23378"/>
    <w:rsid w:val="00E16040"/>
    <w:rsid w:val="00E746CF"/>
    <w:rsid w:val="00ED11DE"/>
    <w:rsid w:val="00EE3779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  <w:style w:type="paragraph" w:customStyle="1" w:styleId="StandardowytekstZnakZnak">
    <w:name w:val="Standardowy.tekst Znak Znak"/>
    <w:rsid w:val="006672D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ormalnyZlewej0cmWysunicie375cm">
    <w:name w:val="Normalny + Z lewej:  0 cm Wysunięcie:  375 cm"/>
    <w:basedOn w:val="Normalny"/>
    <w:rsid w:val="006672DE"/>
    <w:pPr>
      <w:overflowPunct/>
      <w:autoSpaceDE/>
      <w:autoSpaceDN/>
      <w:adjustRightInd/>
      <w:ind w:left="2124" w:hanging="2124"/>
      <w:textAlignment w:val="auto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6</Pages>
  <Words>1405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14</cp:revision>
  <dcterms:created xsi:type="dcterms:W3CDTF">2025-10-10T05:46:00Z</dcterms:created>
  <dcterms:modified xsi:type="dcterms:W3CDTF">2025-11-14T10:59:00Z</dcterms:modified>
</cp:coreProperties>
</file>